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5E8A0" w14:textId="77777777" w:rsidR="00E26798" w:rsidRPr="00E9124E" w:rsidRDefault="00E26798" w:rsidP="00027BC5">
      <w:pPr>
        <w:jc w:val="center"/>
        <w:rPr>
          <w:sz w:val="32"/>
          <w:szCs w:val="32"/>
          <w:u w:val="single"/>
          <w:lang w:val="fr-BE"/>
        </w:rPr>
      </w:pPr>
    </w:p>
    <w:p w14:paraId="611241F1" w14:textId="0FD8AB11" w:rsidR="003069DA" w:rsidRPr="00E9124E" w:rsidRDefault="00850BC7" w:rsidP="00027BC5">
      <w:pPr>
        <w:jc w:val="center"/>
        <w:rPr>
          <w:sz w:val="32"/>
          <w:szCs w:val="32"/>
          <w:u w:val="single"/>
          <w:lang w:val="fr-BE"/>
        </w:rPr>
      </w:pPr>
      <w:r w:rsidRPr="00E9124E">
        <w:rPr>
          <w:sz w:val="32"/>
          <w:szCs w:val="32"/>
          <w:u w:val="single"/>
          <w:lang w:val="fr-BE"/>
        </w:rPr>
        <w:t>Prévisions des</w:t>
      </w:r>
      <w:r w:rsidR="009D338B" w:rsidRPr="00E9124E">
        <w:rPr>
          <w:sz w:val="32"/>
          <w:szCs w:val="32"/>
          <w:u w:val="single"/>
          <w:lang w:val="fr-BE"/>
        </w:rPr>
        <w:t xml:space="preserve"> </w:t>
      </w:r>
      <w:r w:rsidRPr="00E9124E">
        <w:rPr>
          <w:sz w:val="32"/>
          <w:szCs w:val="32"/>
          <w:u w:val="single"/>
          <w:lang w:val="fr-BE"/>
        </w:rPr>
        <w:t xml:space="preserve">chiffres </w:t>
      </w:r>
      <w:r w:rsidR="00444784">
        <w:rPr>
          <w:sz w:val="32"/>
          <w:szCs w:val="32"/>
          <w:u w:val="single"/>
          <w:lang w:val="fr-BE"/>
        </w:rPr>
        <w:t>R-D</w:t>
      </w:r>
      <w:r w:rsidR="00027BC5" w:rsidRPr="00E9124E">
        <w:rPr>
          <w:sz w:val="32"/>
          <w:szCs w:val="32"/>
          <w:u w:val="single"/>
          <w:lang w:val="fr-BE"/>
        </w:rPr>
        <w:t xml:space="preserve"> </w:t>
      </w:r>
      <w:r w:rsidRPr="00E9124E">
        <w:rPr>
          <w:sz w:val="32"/>
          <w:szCs w:val="32"/>
          <w:u w:val="single"/>
          <w:lang w:val="fr-BE"/>
        </w:rPr>
        <w:t>e</w:t>
      </w:r>
      <w:r w:rsidR="00027BC5" w:rsidRPr="00E9124E">
        <w:rPr>
          <w:sz w:val="32"/>
          <w:szCs w:val="32"/>
          <w:u w:val="single"/>
          <w:lang w:val="fr-BE"/>
        </w:rPr>
        <w:t>n Belgi</w:t>
      </w:r>
      <w:r w:rsidRPr="00E9124E">
        <w:rPr>
          <w:sz w:val="32"/>
          <w:szCs w:val="32"/>
          <w:u w:val="single"/>
          <w:lang w:val="fr-BE"/>
        </w:rPr>
        <w:t>que et</w:t>
      </w:r>
      <w:r w:rsidR="00027BC5" w:rsidRPr="00E9124E">
        <w:rPr>
          <w:sz w:val="32"/>
          <w:szCs w:val="32"/>
          <w:u w:val="single"/>
          <w:lang w:val="fr-BE"/>
        </w:rPr>
        <w:t xml:space="preserve"> </w:t>
      </w:r>
      <w:r w:rsidR="00C8277F" w:rsidRPr="00E9124E">
        <w:rPr>
          <w:sz w:val="32"/>
          <w:szCs w:val="32"/>
          <w:u w:val="single"/>
          <w:lang w:val="fr-BE"/>
        </w:rPr>
        <w:t xml:space="preserve">dans </w:t>
      </w:r>
      <w:r w:rsidRPr="00E9124E">
        <w:rPr>
          <w:sz w:val="32"/>
          <w:szCs w:val="32"/>
          <w:u w:val="single"/>
          <w:lang w:val="fr-BE"/>
        </w:rPr>
        <w:t>ses</w:t>
      </w:r>
      <w:r w:rsidR="00027BC5" w:rsidRPr="00E9124E">
        <w:rPr>
          <w:sz w:val="32"/>
          <w:szCs w:val="32"/>
          <w:u w:val="single"/>
          <w:lang w:val="fr-BE"/>
        </w:rPr>
        <w:t xml:space="preserve"> </w:t>
      </w:r>
      <w:r w:rsidR="00C8277F" w:rsidRPr="00E9124E">
        <w:rPr>
          <w:sz w:val="32"/>
          <w:szCs w:val="32"/>
          <w:u w:val="single"/>
          <w:lang w:val="fr-BE"/>
        </w:rPr>
        <w:t xml:space="preserve">Régions </w:t>
      </w:r>
      <w:r w:rsidRPr="00E9124E">
        <w:rPr>
          <w:sz w:val="32"/>
          <w:szCs w:val="32"/>
          <w:u w:val="single"/>
          <w:lang w:val="fr-BE"/>
        </w:rPr>
        <w:t>pour</w:t>
      </w:r>
      <w:r w:rsidR="00027BC5" w:rsidRPr="00E9124E">
        <w:rPr>
          <w:sz w:val="32"/>
          <w:szCs w:val="32"/>
          <w:u w:val="single"/>
          <w:lang w:val="fr-BE"/>
        </w:rPr>
        <w:t xml:space="preserve"> </w:t>
      </w:r>
      <w:r w:rsidR="008C46EF" w:rsidRPr="00E9124E">
        <w:rPr>
          <w:sz w:val="32"/>
          <w:szCs w:val="32"/>
          <w:u w:val="single"/>
          <w:lang w:val="fr-BE"/>
        </w:rPr>
        <w:t>202</w:t>
      </w:r>
      <w:r w:rsidR="00FA15C1">
        <w:rPr>
          <w:sz w:val="32"/>
          <w:szCs w:val="32"/>
          <w:u w:val="single"/>
          <w:lang w:val="fr-BE"/>
        </w:rPr>
        <w:t>1</w:t>
      </w:r>
    </w:p>
    <w:p w14:paraId="14271980" w14:textId="22BDCFFC" w:rsidR="00027BC5" w:rsidRPr="00E9124E" w:rsidRDefault="00027BC5" w:rsidP="00D816CF">
      <w:pPr>
        <w:jc w:val="both"/>
        <w:rPr>
          <w:u w:val="single"/>
          <w:lang w:val="fr-BE"/>
        </w:rPr>
      </w:pPr>
      <w:r w:rsidRPr="00E9124E">
        <w:rPr>
          <w:u w:val="single"/>
          <w:lang w:val="fr-BE"/>
        </w:rPr>
        <w:t>In</w:t>
      </w:r>
      <w:r w:rsidR="00850BC7" w:rsidRPr="00E9124E">
        <w:rPr>
          <w:u w:val="single"/>
          <w:lang w:val="fr-BE"/>
        </w:rPr>
        <w:t>troduction</w:t>
      </w:r>
    </w:p>
    <w:p w14:paraId="05F83BF3" w14:textId="1D3C1D26" w:rsidR="00AB595A" w:rsidRPr="00AB595A" w:rsidRDefault="00AB595A" w:rsidP="00AB595A">
      <w:pPr>
        <w:jc w:val="both"/>
        <w:rPr>
          <w:lang w:val="fr-BE"/>
        </w:rPr>
      </w:pPr>
      <w:r w:rsidRPr="00AB595A">
        <w:rPr>
          <w:lang w:val="fr-BE"/>
        </w:rPr>
        <w:t xml:space="preserve">En octobre, conformément au règlement européen 2020/1197, les États membres de l'Union européenne doivent fournir à Eurostat des statistiques pour trois variables clés qui caractérisent les activités de </w:t>
      </w:r>
      <w:r w:rsidR="00444784">
        <w:rPr>
          <w:lang w:val="fr-BE"/>
        </w:rPr>
        <w:t>R-D</w:t>
      </w:r>
      <w:r w:rsidRPr="00AB595A">
        <w:rPr>
          <w:lang w:val="fr-BE"/>
        </w:rPr>
        <w:t xml:space="preserve"> d'un pays : les dépenses de </w:t>
      </w:r>
      <w:r w:rsidR="00444784">
        <w:rPr>
          <w:lang w:val="fr-BE"/>
        </w:rPr>
        <w:t>R-D</w:t>
      </w:r>
      <w:r w:rsidRPr="00AB595A">
        <w:rPr>
          <w:lang w:val="fr-BE"/>
        </w:rPr>
        <w:t xml:space="preserve">, le nombre de chercheurs et le personnel de </w:t>
      </w:r>
      <w:r w:rsidR="00444784">
        <w:rPr>
          <w:lang w:val="fr-BE"/>
        </w:rPr>
        <w:t>R-D</w:t>
      </w:r>
      <w:r w:rsidRPr="00AB595A">
        <w:rPr>
          <w:lang w:val="fr-BE"/>
        </w:rPr>
        <w:t xml:space="preserve">. Le personnel de </w:t>
      </w:r>
      <w:r w:rsidR="00444784">
        <w:rPr>
          <w:lang w:val="fr-BE"/>
        </w:rPr>
        <w:t>R-D</w:t>
      </w:r>
      <w:r w:rsidRPr="00AB595A">
        <w:rPr>
          <w:lang w:val="fr-BE"/>
        </w:rPr>
        <w:t xml:space="preserve"> se compose, d'une part, des chercheurs, qui sont responsables de la coordination et de la conduite des activités de recherche, et, d'autre part, du personnel technique et administratif qui les soutient dans cette tâche. Les chercheurs et le personnel de soutien sont indiqués en équivalents temps plein. De cette manière, nous obtenons une image du temps effectivement consacré à la réalisation des activités de </w:t>
      </w:r>
      <w:r w:rsidR="00444784">
        <w:rPr>
          <w:lang w:val="fr-BE"/>
        </w:rPr>
        <w:t>R-D</w:t>
      </w:r>
      <w:r w:rsidRPr="00AB595A">
        <w:rPr>
          <w:lang w:val="fr-BE"/>
        </w:rPr>
        <w:t xml:space="preserve">. Les trois chiffres sont </w:t>
      </w:r>
      <w:r w:rsidR="00AB709F">
        <w:rPr>
          <w:lang w:val="fr-BE"/>
        </w:rPr>
        <w:t>calculés</w:t>
      </w:r>
      <w:r w:rsidR="00AB709F" w:rsidRPr="00AB595A">
        <w:rPr>
          <w:lang w:val="fr-BE"/>
        </w:rPr>
        <w:t xml:space="preserve"> </w:t>
      </w:r>
      <w:r w:rsidRPr="00AB595A">
        <w:rPr>
          <w:lang w:val="fr-BE"/>
        </w:rPr>
        <w:t xml:space="preserve">pour chacun des quatre secteurs distingués dans le Manuel de Frascati, à savoir : le secteur des entreprises, le </w:t>
      </w:r>
      <w:r w:rsidR="00975BA6">
        <w:rPr>
          <w:lang w:val="fr-BE"/>
        </w:rPr>
        <w:t>secteur public</w:t>
      </w:r>
      <w:r w:rsidRPr="00AB595A">
        <w:rPr>
          <w:lang w:val="fr-BE"/>
        </w:rPr>
        <w:t>, l'enseignement supérieur et le secteur privé à but non lucratif.</w:t>
      </w:r>
    </w:p>
    <w:p w14:paraId="0C988438" w14:textId="19A7EB4F" w:rsidR="00AB595A" w:rsidRPr="00AB595A" w:rsidRDefault="00AB595A" w:rsidP="00AB595A">
      <w:pPr>
        <w:jc w:val="both"/>
        <w:rPr>
          <w:lang w:val="fr-BE"/>
        </w:rPr>
      </w:pPr>
      <w:r w:rsidRPr="00AB595A">
        <w:rPr>
          <w:lang w:val="fr-BE"/>
        </w:rPr>
        <w:t>Les statistiques transmises à Eurostat en octobre 2022 sont les chiffres provisoires pour 2021. En juillet 2023, les chiffres définitifs pour 2021 seront publiés</w:t>
      </w:r>
      <w:r w:rsidR="00AB709F">
        <w:rPr>
          <w:lang w:val="fr-BE"/>
        </w:rPr>
        <w:t>.</w:t>
      </w:r>
      <w:r w:rsidRPr="00AB595A">
        <w:rPr>
          <w:lang w:val="fr-BE"/>
        </w:rPr>
        <w:t xml:space="preserve"> </w:t>
      </w:r>
      <w:r w:rsidR="00AB709F">
        <w:rPr>
          <w:lang w:val="fr-BE"/>
        </w:rPr>
        <w:t>I</w:t>
      </w:r>
      <w:r w:rsidRPr="00AB595A">
        <w:rPr>
          <w:lang w:val="fr-BE"/>
        </w:rPr>
        <w:t xml:space="preserve">ls </w:t>
      </w:r>
      <w:r w:rsidR="00AB709F">
        <w:rPr>
          <w:lang w:val="fr-BE"/>
        </w:rPr>
        <w:t>pourront</w:t>
      </w:r>
      <w:r w:rsidR="00AB709F" w:rsidRPr="00AB595A">
        <w:rPr>
          <w:lang w:val="fr-BE"/>
        </w:rPr>
        <w:t xml:space="preserve"> </w:t>
      </w:r>
      <w:r w:rsidRPr="00AB595A">
        <w:rPr>
          <w:lang w:val="fr-BE"/>
        </w:rPr>
        <w:t xml:space="preserve">éventuellement différer des chiffres provisoires. S'il n'y a pas de circonstances inattendues, les écarts entre les deux données sont généralement limités. Cependant, il n'est pas toujours possible </w:t>
      </w:r>
      <w:r w:rsidR="00974283">
        <w:rPr>
          <w:lang w:val="fr-BE"/>
        </w:rPr>
        <w:t>de tenir compte de</w:t>
      </w:r>
      <w:r w:rsidR="00974283" w:rsidRPr="00AB595A">
        <w:rPr>
          <w:lang w:val="fr-BE"/>
        </w:rPr>
        <w:t xml:space="preserve"> </w:t>
      </w:r>
      <w:r w:rsidRPr="00AB595A">
        <w:rPr>
          <w:lang w:val="fr-BE"/>
        </w:rPr>
        <w:t xml:space="preserve">l'impact d'un contexte changeant dans un modèle statistique. En 2021, par exemple, </w:t>
      </w:r>
      <w:r w:rsidR="0027697E">
        <w:rPr>
          <w:lang w:val="fr-BE"/>
        </w:rPr>
        <w:t>l'effet</w:t>
      </w:r>
      <w:r w:rsidR="0027697E" w:rsidRPr="00AB595A">
        <w:rPr>
          <w:lang w:val="fr-BE"/>
        </w:rPr>
        <w:t xml:space="preserve"> </w:t>
      </w:r>
      <w:r w:rsidRPr="00AB595A">
        <w:rPr>
          <w:lang w:val="fr-BE"/>
        </w:rPr>
        <w:t>de la pandémie de COVID</w:t>
      </w:r>
      <w:r w:rsidR="0027697E">
        <w:rPr>
          <w:lang w:val="fr-BE"/>
        </w:rPr>
        <w:t xml:space="preserve"> s'est fait sentir</w:t>
      </w:r>
      <w:r w:rsidRPr="00AB595A">
        <w:rPr>
          <w:lang w:val="fr-BE"/>
        </w:rPr>
        <w:t xml:space="preserve"> en Belgique. Il est difficile </w:t>
      </w:r>
      <w:r w:rsidR="0027697E">
        <w:rPr>
          <w:lang w:val="fr-BE"/>
        </w:rPr>
        <w:t>d'en prédire l'impact</w:t>
      </w:r>
      <w:r w:rsidRPr="00AB595A">
        <w:rPr>
          <w:lang w:val="fr-BE"/>
        </w:rPr>
        <w:t xml:space="preserve"> impact sur les dépenses de </w:t>
      </w:r>
      <w:r w:rsidR="00444784">
        <w:rPr>
          <w:lang w:val="fr-BE"/>
        </w:rPr>
        <w:t>R-D</w:t>
      </w:r>
      <w:r w:rsidRPr="00AB595A">
        <w:rPr>
          <w:lang w:val="fr-BE"/>
        </w:rPr>
        <w:t xml:space="preserve"> d'un pays.</w:t>
      </w:r>
    </w:p>
    <w:p w14:paraId="52151137" w14:textId="7BEC8B76" w:rsidR="00AB595A" w:rsidRPr="00AB595A" w:rsidRDefault="00AB595A" w:rsidP="00AB595A">
      <w:pPr>
        <w:jc w:val="both"/>
        <w:rPr>
          <w:lang w:val="fr-BE"/>
        </w:rPr>
      </w:pPr>
      <w:r w:rsidRPr="00AB595A">
        <w:rPr>
          <w:lang w:val="fr-BE"/>
        </w:rPr>
        <w:t xml:space="preserve">Dans le passé, le calcul du personnel de </w:t>
      </w:r>
      <w:r w:rsidR="00444784">
        <w:rPr>
          <w:lang w:val="fr-BE"/>
        </w:rPr>
        <w:t>R-D</w:t>
      </w:r>
      <w:r w:rsidRPr="00AB595A">
        <w:rPr>
          <w:lang w:val="fr-BE"/>
        </w:rPr>
        <w:t xml:space="preserve"> et des chercheurs ne tenait compte que </w:t>
      </w:r>
      <w:r w:rsidR="0027697E">
        <w:rPr>
          <w:lang w:val="fr-BE"/>
        </w:rPr>
        <w:t>du personnel interne</w:t>
      </w:r>
      <w:r w:rsidRPr="00AB595A">
        <w:rPr>
          <w:lang w:val="fr-BE"/>
        </w:rPr>
        <w:t xml:space="preserve"> qui participe aux activités de </w:t>
      </w:r>
      <w:r w:rsidR="00444784">
        <w:rPr>
          <w:lang w:val="fr-BE"/>
        </w:rPr>
        <w:t>R-D</w:t>
      </w:r>
      <w:r w:rsidRPr="00AB595A">
        <w:rPr>
          <w:lang w:val="fr-BE"/>
        </w:rPr>
        <w:t xml:space="preserve"> de l'entreprise. </w:t>
      </w:r>
      <w:r w:rsidR="0027697E">
        <w:rPr>
          <w:lang w:val="fr-BE"/>
        </w:rPr>
        <w:t>A</w:t>
      </w:r>
      <w:r w:rsidR="0027697E" w:rsidRPr="00AB595A">
        <w:rPr>
          <w:lang w:val="fr-BE"/>
        </w:rPr>
        <w:t xml:space="preserve"> partir de 2021</w:t>
      </w:r>
      <w:r w:rsidR="0027697E">
        <w:rPr>
          <w:lang w:val="fr-BE"/>
        </w:rPr>
        <w:t>, e</w:t>
      </w:r>
      <w:r w:rsidRPr="00AB595A">
        <w:rPr>
          <w:lang w:val="fr-BE"/>
        </w:rPr>
        <w:t xml:space="preserve">n raison de la nouvelle réglementation européenne, </w:t>
      </w:r>
      <w:r w:rsidR="0027697E">
        <w:rPr>
          <w:lang w:val="fr-BE"/>
        </w:rPr>
        <w:t xml:space="preserve">il faut combiner </w:t>
      </w:r>
      <w:r w:rsidRPr="00AB595A">
        <w:rPr>
          <w:lang w:val="fr-BE"/>
        </w:rPr>
        <w:t xml:space="preserve">le personnel interne et externe pour le calcul du personnel de </w:t>
      </w:r>
      <w:r w:rsidR="00444784">
        <w:rPr>
          <w:lang w:val="fr-BE"/>
        </w:rPr>
        <w:t>R-D</w:t>
      </w:r>
      <w:r w:rsidRPr="00AB595A">
        <w:rPr>
          <w:lang w:val="fr-BE"/>
        </w:rPr>
        <w:t xml:space="preserve"> et des chercheurs. Le personnel externe est composé </w:t>
      </w:r>
      <w:r w:rsidR="0027697E">
        <w:rPr>
          <w:lang w:val="fr-BE"/>
        </w:rPr>
        <w:t>des travailleurs</w:t>
      </w:r>
      <w:r w:rsidR="0027697E" w:rsidRPr="00AB595A">
        <w:rPr>
          <w:lang w:val="fr-BE"/>
        </w:rPr>
        <w:t xml:space="preserve"> </w:t>
      </w:r>
      <w:r w:rsidRPr="00AB595A">
        <w:rPr>
          <w:lang w:val="fr-BE"/>
        </w:rPr>
        <w:t xml:space="preserve">qui font partie d'une autre entreprise, mais qui coopèrent aux activités de </w:t>
      </w:r>
      <w:r w:rsidR="00444784">
        <w:rPr>
          <w:lang w:val="fr-BE"/>
        </w:rPr>
        <w:t>R-D</w:t>
      </w:r>
      <w:r w:rsidRPr="00AB595A">
        <w:rPr>
          <w:lang w:val="fr-BE"/>
        </w:rPr>
        <w:t xml:space="preserve"> des entreprises interrogées. Ces </w:t>
      </w:r>
      <w:r w:rsidR="0027697E">
        <w:rPr>
          <w:lang w:val="fr-BE"/>
        </w:rPr>
        <w:t>collaborateurs</w:t>
      </w:r>
      <w:r w:rsidR="0027697E" w:rsidRPr="00AB595A">
        <w:rPr>
          <w:lang w:val="fr-BE"/>
        </w:rPr>
        <w:t xml:space="preserve"> </w:t>
      </w:r>
      <w:r w:rsidRPr="00AB595A">
        <w:rPr>
          <w:lang w:val="fr-BE"/>
        </w:rPr>
        <w:t xml:space="preserve">peuvent provenir d'une entreprise du même groupe ou d'une entreprise </w:t>
      </w:r>
      <w:r w:rsidR="00975BA6">
        <w:rPr>
          <w:lang w:val="fr-BE"/>
        </w:rPr>
        <w:t xml:space="preserve">en dehors du </w:t>
      </w:r>
      <w:r w:rsidRPr="00AB595A">
        <w:rPr>
          <w:lang w:val="fr-BE"/>
        </w:rPr>
        <w:t xml:space="preserve">groupe. </w:t>
      </w:r>
    </w:p>
    <w:p w14:paraId="0D423FA7" w14:textId="65848F8C" w:rsidR="00AB595A" w:rsidRDefault="00AB595A" w:rsidP="00AB595A">
      <w:pPr>
        <w:jc w:val="both"/>
        <w:rPr>
          <w:lang w:val="fr-BE"/>
        </w:rPr>
      </w:pPr>
      <w:r w:rsidRPr="00AB595A">
        <w:rPr>
          <w:lang w:val="fr-BE"/>
        </w:rPr>
        <w:t xml:space="preserve">Pour le secteur des entreprises, </w:t>
      </w:r>
      <w:r w:rsidR="0027697E">
        <w:rPr>
          <w:lang w:val="fr-BE"/>
        </w:rPr>
        <w:t>il s'agit de chiffres préliminaires qui</w:t>
      </w:r>
      <w:r w:rsidRPr="00AB595A">
        <w:rPr>
          <w:lang w:val="fr-BE"/>
        </w:rPr>
        <w:t xml:space="preserve"> ne sont pas basés sur les données du questionnaire, mais </w:t>
      </w:r>
      <w:r w:rsidR="0027697E">
        <w:rPr>
          <w:lang w:val="fr-BE"/>
        </w:rPr>
        <w:t xml:space="preserve">qui </w:t>
      </w:r>
      <w:r w:rsidRPr="00AB595A">
        <w:rPr>
          <w:lang w:val="fr-BE"/>
        </w:rPr>
        <w:t xml:space="preserve">sont </w:t>
      </w:r>
      <w:r w:rsidR="0027697E">
        <w:rPr>
          <w:lang w:val="fr-BE"/>
        </w:rPr>
        <w:t>estimés</w:t>
      </w:r>
      <w:r w:rsidR="0027697E" w:rsidRPr="00AB595A">
        <w:rPr>
          <w:lang w:val="fr-BE"/>
        </w:rPr>
        <w:t xml:space="preserve"> </w:t>
      </w:r>
      <w:r w:rsidR="0027697E">
        <w:rPr>
          <w:lang w:val="fr-BE"/>
        </w:rPr>
        <w:t>au moyen d'</w:t>
      </w:r>
      <w:r w:rsidRPr="00AB595A">
        <w:rPr>
          <w:lang w:val="fr-BE"/>
        </w:rPr>
        <w:t xml:space="preserve">un modèle statistique. </w:t>
      </w:r>
      <w:r w:rsidR="00304B63">
        <w:rPr>
          <w:lang w:val="fr-BE"/>
        </w:rPr>
        <w:t xml:space="preserve">L'estimation des chiffres préliminaires de R-D pour 2021 se base sur l'évolution </w:t>
      </w:r>
      <w:r w:rsidR="00053F3E">
        <w:rPr>
          <w:lang w:val="fr-BE"/>
        </w:rPr>
        <w:t xml:space="preserve">tendancielle </w:t>
      </w:r>
      <w:r w:rsidRPr="00AB595A">
        <w:rPr>
          <w:lang w:val="fr-BE"/>
        </w:rPr>
        <w:t xml:space="preserve">des dépenses de </w:t>
      </w:r>
      <w:r w:rsidR="00444784">
        <w:rPr>
          <w:lang w:val="fr-BE"/>
        </w:rPr>
        <w:t>R-D</w:t>
      </w:r>
      <w:r w:rsidRPr="00AB595A">
        <w:rPr>
          <w:lang w:val="fr-BE"/>
        </w:rPr>
        <w:t xml:space="preserve"> de ces dernières années.  P</w:t>
      </w:r>
      <w:r w:rsidR="00304B63">
        <w:rPr>
          <w:lang w:val="fr-BE"/>
        </w:rPr>
        <w:t>lus précisément, p</w:t>
      </w:r>
      <w:r w:rsidRPr="00AB595A">
        <w:rPr>
          <w:lang w:val="fr-BE"/>
        </w:rPr>
        <w:t xml:space="preserve">our estimer les dépenses et le personnel de </w:t>
      </w:r>
      <w:r w:rsidR="00444784">
        <w:rPr>
          <w:lang w:val="fr-BE"/>
        </w:rPr>
        <w:t>R-D</w:t>
      </w:r>
      <w:r w:rsidRPr="00AB595A">
        <w:rPr>
          <w:lang w:val="fr-BE"/>
        </w:rPr>
        <w:t xml:space="preserve">, un modèle autorégressif </w:t>
      </w:r>
      <w:r w:rsidR="00975BA6">
        <w:rPr>
          <w:lang w:val="fr-BE"/>
        </w:rPr>
        <w:t xml:space="preserve">a été utilisé avec </w:t>
      </w:r>
      <w:r w:rsidR="00304B63">
        <w:rPr>
          <w:lang w:val="fr-BE"/>
        </w:rPr>
        <w:t xml:space="preserve">comme </w:t>
      </w:r>
      <w:r w:rsidR="00975BA6">
        <w:rPr>
          <w:lang w:val="fr-BE"/>
        </w:rPr>
        <w:t xml:space="preserve">prédicteur </w:t>
      </w:r>
      <w:r w:rsidRPr="00AB595A">
        <w:rPr>
          <w:lang w:val="fr-BE"/>
        </w:rPr>
        <w:t xml:space="preserve">l'évolution des taux de croissance des années précédentes pour les trois régions.  Pour estimer les chiffres préliminaires de la part des chercheurs dans le personnel total de </w:t>
      </w:r>
      <w:r w:rsidR="00444784">
        <w:rPr>
          <w:lang w:val="fr-BE"/>
        </w:rPr>
        <w:t>R-D</w:t>
      </w:r>
      <w:r w:rsidRPr="00AB595A">
        <w:rPr>
          <w:lang w:val="fr-BE"/>
        </w:rPr>
        <w:t xml:space="preserve">, le dernier </w:t>
      </w:r>
      <w:r w:rsidR="00975BA6">
        <w:rPr>
          <w:lang w:val="fr-BE"/>
        </w:rPr>
        <w:t>pourcentage</w:t>
      </w:r>
      <w:r w:rsidRPr="00AB595A">
        <w:rPr>
          <w:lang w:val="fr-BE"/>
        </w:rPr>
        <w:t xml:space="preserve"> observé pour chacune des trois régions a été appliqué.</w:t>
      </w:r>
    </w:p>
    <w:p w14:paraId="7E9A46EC" w14:textId="7A129F25" w:rsidR="00AB595A" w:rsidRDefault="00AB595A" w:rsidP="00AB595A">
      <w:pPr>
        <w:jc w:val="both"/>
        <w:rPr>
          <w:lang w:val="fr-BE"/>
        </w:rPr>
      </w:pPr>
    </w:p>
    <w:p w14:paraId="37703FE2" w14:textId="684F9B3D" w:rsidR="00AB595A" w:rsidRDefault="00AB595A" w:rsidP="00AB595A">
      <w:pPr>
        <w:jc w:val="both"/>
        <w:rPr>
          <w:lang w:val="fr-BE"/>
        </w:rPr>
      </w:pPr>
    </w:p>
    <w:p w14:paraId="510360B4" w14:textId="77777777" w:rsidR="00AB595A" w:rsidRPr="00AB595A" w:rsidRDefault="00AB595A" w:rsidP="00AB595A">
      <w:pPr>
        <w:jc w:val="both"/>
        <w:rPr>
          <w:lang w:val="fr-BE"/>
        </w:rPr>
      </w:pPr>
    </w:p>
    <w:p w14:paraId="330632AE" w14:textId="5E000056" w:rsidR="00AB595A" w:rsidRPr="00AB595A" w:rsidRDefault="00AB595A" w:rsidP="00AB595A">
      <w:pPr>
        <w:jc w:val="both"/>
        <w:rPr>
          <w:lang w:val="fr-BE"/>
        </w:rPr>
      </w:pPr>
      <w:r w:rsidRPr="00AB595A">
        <w:rPr>
          <w:lang w:val="fr-BE"/>
        </w:rPr>
        <w:t xml:space="preserve">Il convient donc de noter que si </w:t>
      </w:r>
      <w:r w:rsidR="00304B63">
        <w:rPr>
          <w:lang w:val="fr-BE"/>
        </w:rPr>
        <w:t xml:space="preserve">la </w:t>
      </w:r>
      <w:r w:rsidRPr="00AB595A">
        <w:rPr>
          <w:lang w:val="fr-BE"/>
        </w:rPr>
        <w:t xml:space="preserve">COVID-19 </w:t>
      </w:r>
      <w:r w:rsidR="00304B63">
        <w:rPr>
          <w:lang w:val="fr-BE"/>
        </w:rPr>
        <w:t>devait</w:t>
      </w:r>
      <w:r w:rsidRPr="00AB595A">
        <w:rPr>
          <w:lang w:val="fr-BE"/>
        </w:rPr>
        <w:t xml:space="preserve"> un impact négatif sur</w:t>
      </w:r>
      <w:r w:rsidR="00AC1388">
        <w:rPr>
          <w:lang w:val="fr-BE"/>
        </w:rPr>
        <w:t xml:space="preserve"> les activités de</w:t>
      </w:r>
      <w:r w:rsidRPr="00AB595A">
        <w:rPr>
          <w:lang w:val="fr-BE"/>
        </w:rPr>
        <w:t xml:space="preserve"> </w:t>
      </w:r>
      <w:r w:rsidR="00444784">
        <w:rPr>
          <w:lang w:val="fr-BE"/>
        </w:rPr>
        <w:t>R-D</w:t>
      </w:r>
      <w:r w:rsidRPr="00AB595A">
        <w:rPr>
          <w:lang w:val="fr-BE"/>
        </w:rPr>
        <w:t xml:space="preserve"> (ce qui </w:t>
      </w:r>
      <w:r w:rsidR="00BB19F2">
        <w:rPr>
          <w:lang w:val="fr-BE"/>
        </w:rPr>
        <w:t>ne pourra</w:t>
      </w:r>
      <w:r w:rsidR="00BB19F2" w:rsidRPr="00AB595A">
        <w:rPr>
          <w:lang w:val="fr-BE"/>
        </w:rPr>
        <w:t xml:space="preserve"> </w:t>
      </w:r>
      <w:r w:rsidRPr="00AB595A">
        <w:rPr>
          <w:lang w:val="fr-BE"/>
        </w:rPr>
        <w:t xml:space="preserve">être </w:t>
      </w:r>
      <w:r w:rsidR="00AC1388">
        <w:rPr>
          <w:lang w:val="fr-BE"/>
        </w:rPr>
        <w:t>constaté</w:t>
      </w:r>
      <w:r w:rsidRPr="00AB595A">
        <w:rPr>
          <w:lang w:val="fr-BE"/>
        </w:rPr>
        <w:t xml:space="preserve"> </w:t>
      </w:r>
      <w:r w:rsidR="00BB19F2">
        <w:rPr>
          <w:lang w:val="fr-BE"/>
        </w:rPr>
        <w:t xml:space="preserve">que </w:t>
      </w:r>
      <w:r w:rsidRPr="00AB595A">
        <w:rPr>
          <w:lang w:val="fr-BE"/>
        </w:rPr>
        <w:t xml:space="preserve">dans les enquêtes régulières sur la </w:t>
      </w:r>
      <w:r w:rsidR="00444784">
        <w:rPr>
          <w:lang w:val="fr-BE"/>
        </w:rPr>
        <w:t>R-D</w:t>
      </w:r>
      <w:r w:rsidR="00BB19F2">
        <w:rPr>
          <w:lang w:val="fr-BE"/>
        </w:rPr>
        <w:t>,</w:t>
      </w:r>
      <w:r w:rsidRPr="00AB595A">
        <w:rPr>
          <w:lang w:val="fr-BE"/>
        </w:rPr>
        <w:t xml:space="preserve"> qui ont lieu tous les deux ans), les chiffres préliminaires que nous avons estimés avec nos modèles statistiques et décrits ci-dessous seront surestimés.  En effet, les chiffres préliminaires de </w:t>
      </w:r>
      <w:r w:rsidR="00444784">
        <w:rPr>
          <w:lang w:val="fr-BE"/>
        </w:rPr>
        <w:t>R-D</w:t>
      </w:r>
      <w:r w:rsidRPr="00AB595A">
        <w:rPr>
          <w:lang w:val="fr-BE"/>
        </w:rPr>
        <w:t xml:space="preserve"> ne tiennent pas compte d'un éventuel impact de </w:t>
      </w:r>
      <w:r w:rsidR="00BB19F2">
        <w:rPr>
          <w:lang w:val="fr-BE"/>
        </w:rPr>
        <w:t xml:space="preserve">la </w:t>
      </w:r>
      <w:r w:rsidRPr="00AB595A">
        <w:rPr>
          <w:lang w:val="fr-BE"/>
        </w:rPr>
        <w:t>COVID-19, qu'il soit positif ou négatif.</w:t>
      </w:r>
    </w:p>
    <w:p w14:paraId="0FD319E7" w14:textId="3DC742CE" w:rsidR="00AB595A" w:rsidRPr="00AB595A" w:rsidRDefault="00AB595A" w:rsidP="00AB595A">
      <w:pPr>
        <w:jc w:val="both"/>
        <w:rPr>
          <w:lang w:val="fr-BE"/>
        </w:rPr>
      </w:pPr>
      <w:r w:rsidRPr="00AB595A">
        <w:rPr>
          <w:lang w:val="fr-BE"/>
        </w:rPr>
        <w:t xml:space="preserve">Les trois secteurs sans but lucratif, à savoir les institutions publiques de recherche, l'enseignement supérieur et le secteur privé sans but lucratif, font l'objet d'une enquête annuelle. Dans ce cas, des données étaient déjà disponibles pour 46% du nombre total d'institutions interrogées afin d'établir une estimation, qui doit toutefois être abordée avec prudence car </w:t>
      </w:r>
      <w:r w:rsidR="00BB19F2">
        <w:rPr>
          <w:lang w:val="fr-BE"/>
        </w:rPr>
        <w:t xml:space="preserve">les données de </w:t>
      </w:r>
      <w:r w:rsidRPr="00AB595A">
        <w:rPr>
          <w:lang w:val="fr-BE"/>
        </w:rPr>
        <w:t>certains acteurs clés manquaient encore.</w:t>
      </w:r>
    </w:p>
    <w:p w14:paraId="4190A6E2" w14:textId="0E146951" w:rsidR="00AB595A" w:rsidRPr="00AB595A" w:rsidRDefault="00AB595A" w:rsidP="00AB595A">
      <w:pPr>
        <w:jc w:val="both"/>
        <w:rPr>
          <w:lang w:val="fr-BE"/>
        </w:rPr>
      </w:pPr>
      <w:r w:rsidRPr="00AB595A">
        <w:rPr>
          <w:lang w:val="fr-BE"/>
        </w:rPr>
        <w:t xml:space="preserve">Les tableaux ci-dessous présentent les chiffres préliminaires pour les variables clés et l'intensité de </w:t>
      </w:r>
      <w:r w:rsidR="00444784">
        <w:rPr>
          <w:lang w:val="fr-BE"/>
        </w:rPr>
        <w:t>R-D</w:t>
      </w:r>
      <w:r w:rsidRPr="00AB595A">
        <w:rPr>
          <w:lang w:val="fr-BE"/>
        </w:rPr>
        <w:t xml:space="preserve"> obtenue avec </w:t>
      </w:r>
      <w:r w:rsidR="00053F3E">
        <w:rPr>
          <w:lang w:val="fr-BE"/>
        </w:rPr>
        <w:t>ceux</w:t>
      </w:r>
      <w:r w:rsidRPr="00AB595A">
        <w:rPr>
          <w:lang w:val="fr-BE"/>
        </w:rPr>
        <w:t xml:space="preserve">-ci. Le chiffre de l'intensité de </w:t>
      </w:r>
      <w:r w:rsidR="00444784">
        <w:rPr>
          <w:lang w:val="fr-BE"/>
        </w:rPr>
        <w:t>R-D</w:t>
      </w:r>
      <w:r w:rsidRPr="00AB595A">
        <w:rPr>
          <w:lang w:val="fr-BE"/>
        </w:rPr>
        <w:t xml:space="preserve"> est calculé en divisant les dépenses de </w:t>
      </w:r>
      <w:r w:rsidR="00444784">
        <w:rPr>
          <w:lang w:val="fr-BE"/>
        </w:rPr>
        <w:t>R-D</w:t>
      </w:r>
      <w:r w:rsidRPr="00AB595A">
        <w:rPr>
          <w:lang w:val="fr-BE"/>
        </w:rPr>
        <w:t xml:space="preserve"> par le produit intérieur brut (au niveau national) ou le produit régional brut (au niveau régional). Cet indicateur reflète l'importance des investissements d'un pays ou d'une région dans les nouvelles connaissances et technologies, par rapport à la taille de son économie.</w:t>
      </w:r>
    </w:p>
    <w:p w14:paraId="664B78FC" w14:textId="5C3653A9" w:rsidR="009D338B" w:rsidRPr="00E9124E" w:rsidRDefault="00D816CF">
      <w:pPr>
        <w:rPr>
          <w:u w:val="single"/>
          <w:lang w:val="fr-BE"/>
        </w:rPr>
      </w:pPr>
      <w:r w:rsidRPr="00E9124E">
        <w:rPr>
          <w:u w:val="single"/>
          <w:lang w:val="fr-BE"/>
        </w:rPr>
        <w:t xml:space="preserve">1. </w:t>
      </w:r>
      <w:r w:rsidR="00F93CF6" w:rsidRPr="00E9124E">
        <w:rPr>
          <w:u w:val="single"/>
          <w:lang w:val="fr-BE"/>
        </w:rPr>
        <w:t>Chiffres clés nationaux et régionaux</w:t>
      </w:r>
    </w:p>
    <w:p w14:paraId="1E59CD81" w14:textId="3F9EC30F" w:rsidR="00D816CF" w:rsidRPr="00E9124E" w:rsidRDefault="00D816CF">
      <w:pPr>
        <w:rPr>
          <w:b/>
          <w:bCs/>
          <w:lang w:val="fr-BE"/>
        </w:rPr>
      </w:pPr>
      <w:r w:rsidRPr="00E9124E">
        <w:rPr>
          <w:b/>
          <w:bCs/>
          <w:lang w:val="fr-BE"/>
        </w:rPr>
        <w:t>Tab</w:t>
      </w:r>
      <w:r w:rsidR="00F93CF6" w:rsidRPr="00E9124E">
        <w:rPr>
          <w:b/>
          <w:bCs/>
          <w:lang w:val="fr-BE"/>
        </w:rPr>
        <w:t>le</w:t>
      </w:r>
      <w:r w:rsidRPr="00E9124E">
        <w:rPr>
          <w:b/>
          <w:bCs/>
          <w:lang w:val="fr-BE"/>
        </w:rPr>
        <w:t xml:space="preserve"> 1.1. </w:t>
      </w:r>
      <w:r w:rsidR="00F93CF6" w:rsidRPr="00E9124E">
        <w:rPr>
          <w:b/>
          <w:bCs/>
          <w:lang w:val="fr-BE"/>
        </w:rPr>
        <w:t>Prévisions belges</w:t>
      </w:r>
      <w:r w:rsidRPr="00E9124E">
        <w:rPr>
          <w:b/>
          <w:bCs/>
          <w:lang w:val="fr-BE"/>
        </w:rPr>
        <w:t xml:space="preserve"> </w:t>
      </w:r>
      <w:r w:rsidR="00F93CF6" w:rsidRPr="00E9124E">
        <w:rPr>
          <w:b/>
          <w:bCs/>
          <w:lang w:val="fr-BE"/>
        </w:rPr>
        <w:t>pour</w:t>
      </w:r>
      <w:r w:rsidRPr="00E9124E">
        <w:rPr>
          <w:b/>
          <w:bCs/>
          <w:lang w:val="fr-BE"/>
        </w:rPr>
        <w:t xml:space="preserve"> 202</w:t>
      </w:r>
      <w:r w:rsidR="00AC1388">
        <w:rPr>
          <w:b/>
          <w:bCs/>
          <w:lang w:val="fr-BE"/>
        </w:rPr>
        <w:t>1</w:t>
      </w:r>
      <w:r w:rsidRPr="00E9124E">
        <w:rPr>
          <w:b/>
          <w:bCs/>
          <w:lang w:val="fr-BE"/>
        </w:rPr>
        <w:t xml:space="preserve"> (p</w:t>
      </w:r>
      <w:r w:rsidR="00F93CF6" w:rsidRPr="00E9124E">
        <w:rPr>
          <w:b/>
          <w:bCs/>
          <w:lang w:val="fr-BE"/>
        </w:rPr>
        <w:t>a</w:t>
      </w:r>
      <w:r w:rsidRPr="00E9124E">
        <w:rPr>
          <w:b/>
          <w:bCs/>
          <w:lang w:val="fr-BE"/>
        </w:rPr>
        <w:t>r sect</w:t>
      </w:r>
      <w:r w:rsidR="00F93CF6" w:rsidRPr="00E9124E">
        <w:rPr>
          <w:b/>
          <w:bCs/>
          <w:lang w:val="fr-BE"/>
        </w:rPr>
        <w:t>eu</w:t>
      </w:r>
      <w:r w:rsidRPr="00E9124E">
        <w:rPr>
          <w:b/>
          <w:bCs/>
          <w:lang w:val="fr-BE"/>
        </w:rPr>
        <w:t>r</w:t>
      </w:r>
      <w:r w:rsidR="00707DAC">
        <w:rPr>
          <w:b/>
          <w:bCs/>
          <w:lang w:val="fr-BE"/>
        </w:rPr>
        <w:t xml:space="preserve"> d’exécution</w:t>
      </w:r>
      <w:r w:rsidRPr="00E9124E">
        <w:rPr>
          <w:b/>
          <w:bCs/>
          <w:lang w:val="fr-BE"/>
        </w:rPr>
        <w:t>)</w:t>
      </w:r>
    </w:p>
    <w:p w14:paraId="31B367BE" w14:textId="285B9D78" w:rsidR="00D816CF" w:rsidRDefault="00F93CF6" w:rsidP="00D816CF">
      <w:pPr>
        <w:rPr>
          <w:lang w:val="fr-BE"/>
        </w:rPr>
      </w:pPr>
      <w:r w:rsidRPr="00E9124E">
        <w:rPr>
          <w:lang w:val="fr-BE"/>
        </w:rPr>
        <w:t xml:space="preserve">Les chiffres publiés par Eurostat et l'OCDE sont les chiffres </w:t>
      </w:r>
      <w:r w:rsidR="00912F32">
        <w:rPr>
          <w:lang w:val="fr-BE"/>
        </w:rPr>
        <w:t>pour la Belgique dans son ensemble</w:t>
      </w:r>
      <w:r w:rsidR="00D816CF" w:rsidRPr="00E9124E">
        <w:rPr>
          <w:lang w:val="fr-BE"/>
        </w:rPr>
        <w:t>.</w:t>
      </w:r>
    </w:p>
    <w:p w14:paraId="7F92002B" w14:textId="77777777" w:rsidR="00AB595A" w:rsidRPr="00E9124E" w:rsidRDefault="00AB595A" w:rsidP="00D816CF">
      <w:pPr>
        <w:rPr>
          <w:lang w:val="fr-BE"/>
        </w:rPr>
      </w:pPr>
    </w:p>
    <w:tbl>
      <w:tblPr>
        <w:tblW w:w="8100" w:type="dxa"/>
        <w:tblLook w:val="04A0" w:firstRow="1" w:lastRow="0" w:firstColumn="1" w:lastColumn="0" w:noHBand="0" w:noVBand="1"/>
      </w:tblPr>
      <w:tblGrid>
        <w:gridCol w:w="2820"/>
        <w:gridCol w:w="1760"/>
        <w:gridCol w:w="1941"/>
        <w:gridCol w:w="1579"/>
      </w:tblGrid>
      <w:tr w:rsidR="002F6568" w:rsidRPr="00C8277F" w14:paraId="26A85A01" w14:textId="77777777" w:rsidTr="00AC1388">
        <w:trPr>
          <w:trHeight w:val="300"/>
        </w:trPr>
        <w:tc>
          <w:tcPr>
            <w:tcW w:w="2820" w:type="dxa"/>
            <w:tcBorders>
              <w:top w:val="nil"/>
              <w:left w:val="nil"/>
              <w:bottom w:val="nil"/>
              <w:right w:val="nil"/>
            </w:tcBorders>
            <w:shd w:val="clear" w:color="auto" w:fill="auto"/>
            <w:noWrap/>
            <w:vAlign w:val="bottom"/>
            <w:hideMark/>
          </w:tcPr>
          <w:p w14:paraId="076D59E1" w14:textId="77777777" w:rsidR="002F6568" w:rsidRPr="00C8277F" w:rsidRDefault="002F6568" w:rsidP="002F6568">
            <w:pPr>
              <w:spacing w:after="0" w:line="240" w:lineRule="auto"/>
              <w:rPr>
                <w:rFonts w:ascii="Times New Roman" w:eastAsia="Times New Roman" w:hAnsi="Times New Roman" w:cs="Times New Roman"/>
                <w:sz w:val="24"/>
                <w:szCs w:val="24"/>
                <w:lang w:val="fr-BE" w:eastAsia="en-GB"/>
              </w:rPr>
            </w:pPr>
          </w:p>
        </w:tc>
        <w:tc>
          <w:tcPr>
            <w:tcW w:w="1760" w:type="dxa"/>
            <w:tcBorders>
              <w:top w:val="single" w:sz="4" w:space="0" w:color="auto"/>
              <w:left w:val="single" w:sz="4" w:space="0" w:color="auto"/>
              <w:bottom w:val="nil"/>
              <w:right w:val="nil"/>
            </w:tcBorders>
            <w:shd w:val="clear" w:color="000000" w:fill="D6DCE4"/>
            <w:noWrap/>
            <w:vAlign w:val="center"/>
            <w:hideMark/>
          </w:tcPr>
          <w:p w14:paraId="091DD3ED" w14:textId="6C93E2C5" w:rsidR="002F6568" w:rsidRPr="00E9124E" w:rsidRDefault="00F93CF6" w:rsidP="002F6568">
            <w:pPr>
              <w:spacing w:after="0" w:line="240" w:lineRule="auto"/>
              <w:jc w:val="center"/>
              <w:rPr>
                <w:rFonts w:ascii="Calibri" w:eastAsia="Times New Roman" w:hAnsi="Calibri" w:cs="Calibri"/>
                <w:b/>
                <w:bCs/>
                <w:color w:val="000000"/>
                <w:lang w:val="fr-BE" w:eastAsia="en-GB"/>
              </w:rPr>
            </w:pPr>
            <w:r w:rsidRPr="00E9124E">
              <w:rPr>
                <w:rFonts w:ascii="Calibri" w:eastAsia="Times New Roman" w:hAnsi="Calibri" w:cs="Calibri"/>
                <w:b/>
                <w:bCs/>
                <w:color w:val="000000"/>
                <w:lang w:val="fr-BE" w:eastAsia="en-GB"/>
              </w:rPr>
              <w:t>Dépenses</w:t>
            </w:r>
            <w:r w:rsidR="003F142E">
              <w:rPr>
                <w:rFonts w:ascii="Calibri" w:eastAsia="Times New Roman" w:hAnsi="Calibri" w:cs="Calibri"/>
                <w:b/>
                <w:bCs/>
                <w:color w:val="000000"/>
                <w:lang w:val="fr-BE" w:eastAsia="en-GB"/>
              </w:rPr>
              <w:t xml:space="preserve"> de</w:t>
            </w:r>
            <w:r w:rsidRPr="00E9124E">
              <w:rPr>
                <w:rFonts w:ascii="Calibri" w:eastAsia="Times New Roman" w:hAnsi="Calibri" w:cs="Calibri"/>
                <w:b/>
                <w:bCs/>
                <w:color w:val="000000"/>
                <w:lang w:val="fr-BE" w:eastAsia="en-GB"/>
              </w:rPr>
              <w:t xml:space="preserve"> </w:t>
            </w:r>
            <w:r w:rsidR="00444784">
              <w:rPr>
                <w:rFonts w:ascii="Calibri" w:eastAsia="Times New Roman" w:hAnsi="Calibri" w:cs="Calibri"/>
                <w:b/>
                <w:bCs/>
                <w:color w:val="000000"/>
                <w:lang w:val="fr-BE" w:eastAsia="en-GB"/>
              </w:rPr>
              <w:t>R-D</w:t>
            </w:r>
          </w:p>
        </w:tc>
        <w:tc>
          <w:tcPr>
            <w:tcW w:w="1941" w:type="dxa"/>
            <w:tcBorders>
              <w:top w:val="single" w:sz="4" w:space="0" w:color="auto"/>
              <w:left w:val="single" w:sz="4" w:space="0" w:color="auto"/>
              <w:bottom w:val="nil"/>
              <w:right w:val="single" w:sz="4" w:space="0" w:color="auto"/>
            </w:tcBorders>
            <w:shd w:val="clear" w:color="000000" w:fill="D6DCE4"/>
            <w:noWrap/>
            <w:vAlign w:val="center"/>
            <w:hideMark/>
          </w:tcPr>
          <w:p w14:paraId="5857CDA3" w14:textId="52E15673" w:rsidR="002F6568" w:rsidRPr="00E9124E" w:rsidRDefault="00F93CF6" w:rsidP="002F6568">
            <w:pPr>
              <w:spacing w:after="0" w:line="240" w:lineRule="auto"/>
              <w:jc w:val="center"/>
              <w:rPr>
                <w:rFonts w:ascii="Calibri" w:eastAsia="Times New Roman" w:hAnsi="Calibri" w:cs="Calibri"/>
                <w:b/>
                <w:bCs/>
                <w:color w:val="000000"/>
                <w:lang w:val="fr-BE" w:eastAsia="en-GB"/>
              </w:rPr>
            </w:pPr>
            <w:r w:rsidRPr="00E9124E">
              <w:rPr>
                <w:rFonts w:ascii="Calibri" w:eastAsia="Times New Roman" w:hAnsi="Calibri" w:cs="Calibri"/>
                <w:b/>
                <w:bCs/>
                <w:color w:val="000000"/>
                <w:lang w:val="fr-BE" w:eastAsia="en-GB"/>
              </w:rPr>
              <w:t xml:space="preserve">Personnel </w:t>
            </w:r>
            <w:r w:rsidR="003F142E">
              <w:rPr>
                <w:rFonts w:ascii="Calibri" w:eastAsia="Times New Roman" w:hAnsi="Calibri" w:cs="Calibri"/>
                <w:b/>
                <w:bCs/>
                <w:color w:val="000000"/>
                <w:lang w:val="fr-BE" w:eastAsia="en-GB"/>
              </w:rPr>
              <w:t xml:space="preserve">de </w:t>
            </w:r>
            <w:r w:rsidR="00444784">
              <w:rPr>
                <w:rFonts w:ascii="Calibri" w:eastAsia="Times New Roman" w:hAnsi="Calibri" w:cs="Calibri"/>
                <w:b/>
                <w:bCs/>
                <w:color w:val="000000"/>
                <w:lang w:val="fr-BE" w:eastAsia="en-GB"/>
              </w:rPr>
              <w:t>R-D</w:t>
            </w:r>
          </w:p>
        </w:tc>
        <w:tc>
          <w:tcPr>
            <w:tcW w:w="1579" w:type="dxa"/>
            <w:tcBorders>
              <w:top w:val="single" w:sz="4" w:space="0" w:color="auto"/>
              <w:left w:val="nil"/>
              <w:bottom w:val="nil"/>
              <w:right w:val="single" w:sz="4" w:space="0" w:color="auto"/>
            </w:tcBorders>
            <w:shd w:val="clear" w:color="000000" w:fill="D6DCE4"/>
            <w:noWrap/>
            <w:vAlign w:val="center"/>
            <w:hideMark/>
          </w:tcPr>
          <w:p w14:paraId="3B78DC4D" w14:textId="61C58A19" w:rsidR="002F6568" w:rsidRPr="00E9124E" w:rsidRDefault="00F93CF6" w:rsidP="002F6568">
            <w:pPr>
              <w:spacing w:after="0" w:line="240" w:lineRule="auto"/>
              <w:jc w:val="center"/>
              <w:rPr>
                <w:rFonts w:ascii="Calibri" w:eastAsia="Times New Roman" w:hAnsi="Calibri" w:cs="Calibri"/>
                <w:b/>
                <w:bCs/>
                <w:color w:val="000000"/>
                <w:lang w:val="fr-BE" w:eastAsia="en-GB"/>
              </w:rPr>
            </w:pPr>
            <w:r w:rsidRPr="00E9124E">
              <w:rPr>
                <w:rFonts w:ascii="Calibri" w:eastAsia="Times New Roman" w:hAnsi="Calibri" w:cs="Calibri"/>
                <w:b/>
                <w:bCs/>
                <w:color w:val="000000"/>
                <w:lang w:val="fr-BE" w:eastAsia="en-GB"/>
              </w:rPr>
              <w:t>Chercheurs</w:t>
            </w:r>
          </w:p>
        </w:tc>
      </w:tr>
      <w:tr w:rsidR="002F6568" w:rsidRPr="00C8277F" w14:paraId="477E23D8" w14:textId="77777777" w:rsidTr="00AC1388">
        <w:trPr>
          <w:trHeight w:val="300"/>
        </w:trPr>
        <w:tc>
          <w:tcPr>
            <w:tcW w:w="2820" w:type="dxa"/>
            <w:tcBorders>
              <w:top w:val="nil"/>
              <w:left w:val="nil"/>
              <w:bottom w:val="nil"/>
              <w:right w:val="nil"/>
            </w:tcBorders>
            <w:shd w:val="clear" w:color="auto" w:fill="auto"/>
            <w:noWrap/>
            <w:vAlign w:val="bottom"/>
            <w:hideMark/>
          </w:tcPr>
          <w:p w14:paraId="23919EA6" w14:textId="77777777" w:rsidR="002F6568" w:rsidRPr="00E9124E" w:rsidRDefault="002F6568" w:rsidP="002F6568">
            <w:pPr>
              <w:spacing w:after="0" w:line="240" w:lineRule="auto"/>
              <w:jc w:val="center"/>
              <w:rPr>
                <w:rFonts w:ascii="Calibri" w:eastAsia="Times New Roman" w:hAnsi="Calibri" w:cs="Calibri"/>
                <w:b/>
                <w:bCs/>
                <w:color w:val="000000"/>
                <w:lang w:val="fr-BE" w:eastAsia="en-GB"/>
              </w:rPr>
            </w:pPr>
          </w:p>
        </w:tc>
        <w:tc>
          <w:tcPr>
            <w:tcW w:w="1760" w:type="dxa"/>
            <w:tcBorders>
              <w:top w:val="single" w:sz="4" w:space="0" w:color="auto"/>
              <w:left w:val="single" w:sz="4" w:space="0" w:color="auto"/>
              <w:bottom w:val="single" w:sz="4" w:space="0" w:color="auto"/>
              <w:right w:val="nil"/>
            </w:tcBorders>
            <w:shd w:val="clear" w:color="auto" w:fill="auto"/>
            <w:noWrap/>
            <w:vAlign w:val="center"/>
            <w:hideMark/>
          </w:tcPr>
          <w:p w14:paraId="24800852" w14:textId="1E0D5693" w:rsidR="002F6568" w:rsidRPr="00E9124E" w:rsidRDefault="002F6568" w:rsidP="002F6568">
            <w:pPr>
              <w:spacing w:after="0" w:line="240" w:lineRule="auto"/>
              <w:jc w:val="center"/>
              <w:rPr>
                <w:rFonts w:ascii="Calibri" w:eastAsia="Times New Roman" w:hAnsi="Calibri" w:cs="Calibri"/>
                <w:b/>
                <w:bCs/>
                <w:color w:val="000000"/>
                <w:lang w:val="fr-BE" w:eastAsia="en-GB"/>
              </w:rPr>
            </w:pPr>
            <w:r w:rsidRPr="00E9124E">
              <w:rPr>
                <w:rFonts w:ascii="Calibri" w:eastAsia="Times New Roman" w:hAnsi="Calibri" w:cs="Calibri"/>
                <w:b/>
                <w:bCs/>
                <w:color w:val="000000"/>
                <w:lang w:val="fr-BE" w:eastAsia="en-GB"/>
              </w:rPr>
              <w:t>(</w:t>
            </w:r>
            <w:r w:rsidR="00F93CF6" w:rsidRPr="00E9124E">
              <w:rPr>
                <w:rFonts w:ascii="Calibri" w:eastAsia="Times New Roman" w:hAnsi="Calibri" w:cs="Calibri"/>
                <w:b/>
                <w:bCs/>
                <w:color w:val="000000"/>
                <w:lang w:val="fr-BE" w:eastAsia="en-GB"/>
              </w:rPr>
              <w:t>e</w:t>
            </w:r>
            <w:r w:rsidRPr="00E9124E">
              <w:rPr>
                <w:rFonts w:ascii="Calibri" w:eastAsia="Times New Roman" w:hAnsi="Calibri" w:cs="Calibri"/>
                <w:b/>
                <w:bCs/>
                <w:color w:val="000000"/>
                <w:lang w:val="fr-BE" w:eastAsia="en-GB"/>
              </w:rPr>
              <w:t>n mil</w:t>
            </w:r>
            <w:r w:rsidR="00F93CF6" w:rsidRPr="00E9124E">
              <w:rPr>
                <w:rFonts w:ascii="Calibri" w:eastAsia="Times New Roman" w:hAnsi="Calibri" w:cs="Calibri"/>
                <w:b/>
                <w:bCs/>
                <w:color w:val="000000"/>
                <w:lang w:val="fr-BE" w:eastAsia="en-GB"/>
              </w:rPr>
              <w:t>lion</w:t>
            </w:r>
            <w:r w:rsidR="00E261F5" w:rsidRPr="00E9124E">
              <w:rPr>
                <w:rFonts w:ascii="Calibri" w:eastAsia="Times New Roman" w:hAnsi="Calibri" w:cs="Calibri"/>
                <w:b/>
                <w:bCs/>
                <w:color w:val="000000"/>
                <w:lang w:val="fr-BE" w:eastAsia="en-GB"/>
              </w:rPr>
              <w:t>s</w:t>
            </w:r>
            <w:r w:rsidRPr="00E9124E">
              <w:rPr>
                <w:rFonts w:ascii="Calibri" w:eastAsia="Times New Roman" w:hAnsi="Calibri" w:cs="Calibri"/>
                <w:b/>
                <w:bCs/>
                <w:color w:val="000000"/>
                <w:lang w:val="fr-BE" w:eastAsia="en-GB"/>
              </w:rPr>
              <w:t xml:space="preserve"> </w:t>
            </w:r>
            <w:r w:rsidR="00E261F5" w:rsidRPr="00E9124E">
              <w:rPr>
                <w:rFonts w:ascii="Calibri" w:eastAsia="Times New Roman" w:hAnsi="Calibri" w:cs="Calibri"/>
                <w:b/>
                <w:bCs/>
                <w:color w:val="000000"/>
                <w:lang w:val="fr-BE" w:eastAsia="en-GB"/>
              </w:rPr>
              <w:t>d'</w:t>
            </w:r>
            <w:r w:rsidRPr="00E9124E">
              <w:rPr>
                <w:rFonts w:ascii="Calibri" w:eastAsia="Times New Roman" w:hAnsi="Calibri" w:cs="Calibri"/>
                <w:b/>
                <w:bCs/>
                <w:color w:val="000000"/>
                <w:lang w:val="fr-BE" w:eastAsia="en-GB"/>
              </w:rPr>
              <w:t>euro</w:t>
            </w:r>
            <w:r w:rsidR="00F93CF6" w:rsidRPr="00E9124E">
              <w:rPr>
                <w:rFonts w:ascii="Calibri" w:eastAsia="Times New Roman" w:hAnsi="Calibri" w:cs="Calibri"/>
                <w:b/>
                <w:bCs/>
                <w:color w:val="000000"/>
                <w:lang w:val="fr-BE" w:eastAsia="en-GB"/>
              </w:rPr>
              <w:t>s</w:t>
            </w:r>
            <w:r w:rsidRPr="00E9124E">
              <w:rPr>
                <w:rFonts w:ascii="Calibri" w:eastAsia="Times New Roman" w:hAnsi="Calibri" w:cs="Calibri"/>
                <w:b/>
                <w:bCs/>
                <w:color w:val="000000"/>
                <w:lang w:val="fr-BE" w:eastAsia="en-GB"/>
              </w:rPr>
              <w:t>)</w:t>
            </w:r>
          </w:p>
        </w:tc>
        <w:tc>
          <w:tcPr>
            <w:tcW w:w="1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BE63D" w14:textId="4A2E0065" w:rsidR="002F6568" w:rsidRPr="00E9124E" w:rsidRDefault="002F6568" w:rsidP="002F6568">
            <w:pPr>
              <w:spacing w:after="0" w:line="240" w:lineRule="auto"/>
              <w:jc w:val="center"/>
              <w:rPr>
                <w:rFonts w:ascii="Calibri" w:eastAsia="Times New Roman" w:hAnsi="Calibri" w:cs="Calibri"/>
                <w:b/>
                <w:bCs/>
                <w:color w:val="000000"/>
                <w:lang w:val="fr-BE" w:eastAsia="en-GB"/>
              </w:rPr>
            </w:pPr>
            <w:r w:rsidRPr="00E9124E">
              <w:rPr>
                <w:rFonts w:ascii="Calibri" w:eastAsia="Times New Roman" w:hAnsi="Calibri" w:cs="Calibri"/>
                <w:b/>
                <w:bCs/>
                <w:color w:val="000000"/>
                <w:lang w:val="fr-BE" w:eastAsia="en-GB"/>
              </w:rPr>
              <w:t>(</w:t>
            </w:r>
            <w:r w:rsidR="00F93CF6" w:rsidRPr="00E9124E">
              <w:rPr>
                <w:rFonts w:ascii="Calibri" w:eastAsia="Times New Roman" w:hAnsi="Calibri" w:cs="Calibri"/>
                <w:b/>
                <w:bCs/>
                <w:color w:val="000000"/>
                <w:lang w:val="fr-BE" w:eastAsia="en-GB"/>
              </w:rPr>
              <w:t>e</w:t>
            </w:r>
            <w:r w:rsidRPr="00E9124E">
              <w:rPr>
                <w:rFonts w:ascii="Calibri" w:eastAsia="Times New Roman" w:hAnsi="Calibri" w:cs="Calibri"/>
                <w:b/>
                <w:bCs/>
                <w:color w:val="000000"/>
                <w:lang w:val="fr-BE" w:eastAsia="en-GB"/>
              </w:rPr>
              <w:t xml:space="preserve">n </w:t>
            </w:r>
            <w:r w:rsidR="00F93CF6" w:rsidRPr="00E9124E">
              <w:rPr>
                <w:rFonts w:ascii="Calibri" w:eastAsia="Times New Roman" w:hAnsi="Calibri" w:cs="Calibri"/>
                <w:b/>
                <w:bCs/>
                <w:color w:val="000000"/>
                <w:lang w:val="fr-BE" w:eastAsia="en-GB"/>
              </w:rPr>
              <w:t>ETP</w:t>
            </w:r>
            <w:r w:rsidRPr="00E9124E">
              <w:rPr>
                <w:rFonts w:ascii="Calibri" w:eastAsia="Times New Roman" w:hAnsi="Calibri" w:cs="Calibri"/>
                <w:b/>
                <w:bCs/>
                <w:color w:val="000000"/>
                <w:lang w:val="fr-BE" w:eastAsia="en-GB"/>
              </w:rPr>
              <w:t>s)</w:t>
            </w:r>
          </w:p>
        </w:tc>
        <w:tc>
          <w:tcPr>
            <w:tcW w:w="1579" w:type="dxa"/>
            <w:tcBorders>
              <w:top w:val="single" w:sz="4" w:space="0" w:color="auto"/>
              <w:left w:val="nil"/>
              <w:bottom w:val="single" w:sz="4" w:space="0" w:color="auto"/>
              <w:right w:val="single" w:sz="4" w:space="0" w:color="auto"/>
            </w:tcBorders>
            <w:shd w:val="clear" w:color="auto" w:fill="auto"/>
            <w:noWrap/>
            <w:vAlign w:val="center"/>
            <w:hideMark/>
          </w:tcPr>
          <w:p w14:paraId="4F4C91B1" w14:textId="15FA0438" w:rsidR="002F6568" w:rsidRPr="00E9124E" w:rsidRDefault="002F6568" w:rsidP="002F6568">
            <w:pPr>
              <w:spacing w:after="0" w:line="240" w:lineRule="auto"/>
              <w:jc w:val="center"/>
              <w:rPr>
                <w:rFonts w:ascii="Calibri" w:eastAsia="Times New Roman" w:hAnsi="Calibri" w:cs="Calibri"/>
                <w:b/>
                <w:bCs/>
                <w:color w:val="000000"/>
                <w:lang w:val="fr-BE" w:eastAsia="en-GB"/>
              </w:rPr>
            </w:pPr>
            <w:r w:rsidRPr="00E9124E">
              <w:rPr>
                <w:rFonts w:ascii="Calibri" w:eastAsia="Times New Roman" w:hAnsi="Calibri" w:cs="Calibri"/>
                <w:b/>
                <w:bCs/>
                <w:color w:val="000000"/>
                <w:lang w:val="fr-BE" w:eastAsia="en-GB"/>
              </w:rPr>
              <w:t>(</w:t>
            </w:r>
            <w:r w:rsidR="00F93CF6" w:rsidRPr="00E9124E">
              <w:rPr>
                <w:rFonts w:ascii="Calibri" w:eastAsia="Times New Roman" w:hAnsi="Calibri" w:cs="Calibri"/>
                <w:b/>
                <w:bCs/>
                <w:color w:val="000000"/>
                <w:lang w:val="fr-BE" w:eastAsia="en-GB"/>
              </w:rPr>
              <w:t>e</w:t>
            </w:r>
            <w:r w:rsidRPr="00E9124E">
              <w:rPr>
                <w:rFonts w:ascii="Calibri" w:eastAsia="Times New Roman" w:hAnsi="Calibri" w:cs="Calibri"/>
                <w:b/>
                <w:bCs/>
                <w:color w:val="000000"/>
                <w:lang w:val="fr-BE" w:eastAsia="en-GB"/>
              </w:rPr>
              <w:t>n E</w:t>
            </w:r>
            <w:r w:rsidR="00F93CF6" w:rsidRPr="00E9124E">
              <w:rPr>
                <w:rFonts w:ascii="Calibri" w:eastAsia="Times New Roman" w:hAnsi="Calibri" w:cs="Calibri"/>
                <w:b/>
                <w:bCs/>
                <w:color w:val="000000"/>
                <w:lang w:val="fr-BE" w:eastAsia="en-GB"/>
              </w:rPr>
              <w:t>TP</w:t>
            </w:r>
            <w:r w:rsidRPr="00E9124E">
              <w:rPr>
                <w:rFonts w:ascii="Calibri" w:eastAsia="Times New Roman" w:hAnsi="Calibri" w:cs="Calibri"/>
                <w:b/>
                <w:bCs/>
                <w:color w:val="000000"/>
                <w:lang w:val="fr-BE" w:eastAsia="en-GB"/>
              </w:rPr>
              <w:t>s)</w:t>
            </w:r>
          </w:p>
        </w:tc>
      </w:tr>
      <w:tr w:rsidR="00BB19F2" w:rsidRPr="00C8277F" w14:paraId="6235BFFC" w14:textId="77777777" w:rsidTr="00AC1388">
        <w:trPr>
          <w:trHeight w:val="300"/>
        </w:trPr>
        <w:tc>
          <w:tcPr>
            <w:tcW w:w="2820" w:type="dxa"/>
            <w:tcBorders>
              <w:top w:val="single" w:sz="4" w:space="0" w:color="auto"/>
              <w:left w:val="single" w:sz="4" w:space="0" w:color="auto"/>
              <w:bottom w:val="nil"/>
              <w:right w:val="single" w:sz="4" w:space="0" w:color="auto"/>
            </w:tcBorders>
            <w:shd w:val="clear" w:color="000000" w:fill="D6DCE4"/>
            <w:noWrap/>
            <w:vAlign w:val="bottom"/>
            <w:hideMark/>
          </w:tcPr>
          <w:p w14:paraId="4D31E890" w14:textId="04923719" w:rsidR="00BB19F2" w:rsidRPr="00E9124E" w:rsidRDefault="00BB19F2" w:rsidP="00BB19F2">
            <w:pPr>
              <w:spacing w:after="0" w:line="240" w:lineRule="auto"/>
              <w:rPr>
                <w:rFonts w:ascii="Calibri" w:eastAsia="Times New Roman" w:hAnsi="Calibri" w:cs="Calibri"/>
                <w:b/>
                <w:bCs/>
                <w:color w:val="000000"/>
                <w:lang w:val="fr-BE" w:eastAsia="en-GB"/>
              </w:rPr>
            </w:pPr>
            <w:r w:rsidRPr="00E9124E">
              <w:rPr>
                <w:rFonts w:ascii="Calibri" w:eastAsia="Times New Roman" w:hAnsi="Calibri" w:cs="Calibri"/>
                <w:b/>
                <w:bCs/>
                <w:color w:val="000000"/>
                <w:lang w:val="fr-BE" w:eastAsia="en-GB"/>
              </w:rPr>
              <w:t>Entreprises</w:t>
            </w:r>
          </w:p>
        </w:tc>
        <w:tc>
          <w:tcPr>
            <w:tcW w:w="1760" w:type="dxa"/>
            <w:tcBorders>
              <w:top w:val="nil"/>
              <w:left w:val="nil"/>
              <w:bottom w:val="nil"/>
              <w:right w:val="nil"/>
            </w:tcBorders>
            <w:shd w:val="clear" w:color="auto" w:fill="auto"/>
            <w:noWrap/>
            <w:vAlign w:val="bottom"/>
            <w:hideMark/>
          </w:tcPr>
          <w:p w14:paraId="0EB3C704" w14:textId="319F6F49" w:rsidR="00BB19F2" w:rsidRPr="00E9124E" w:rsidRDefault="00BB19F2" w:rsidP="00BB19F2">
            <w:pPr>
              <w:spacing w:after="0" w:line="240" w:lineRule="auto"/>
              <w:jc w:val="right"/>
              <w:rPr>
                <w:rFonts w:ascii="Calibri" w:eastAsia="Times New Roman" w:hAnsi="Calibri" w:cs="Calibri"/>
                <w:color w:val="000000"/>
                <w:lang w:val="fr-BE" w:eastAsia="en-GB"/>
              </w:rPr>
            </w:pPr>
            <w:r w:rsidRPr="006C088B">
              <w:rPr>
                <w:rFonts w:ascii="Calibri" w:eastAsia="Times New Roman" w:hAnsi="Calibri" w:cs="Calibri"/>
                <w:color w:val="000000"/>
                <w:lang w:val="en-GB" w:eastAsia="en-GB"/>
              </w:rPr>
              <w:t>12 172,787</w:t>
            </w:r>
          </w:p>
        </w:tc>
        <w:tc>
          <w:tcPr>
            <w:tcW w:w="1941" w:type="dxa"/>
            <w:tcBorders>
              <w:top w:val="nil"/>
              <w:left w:val="single" w:sz="4" w:space="0" w:color="auto"/>
              <w:bottom w:val="nil"/>
              <w:right w:val="single" w:sz="4" w:space="0" w:color="auto"/>
            </w:tcBorders>
            <w:shd w:val="clear" w:color="auto" w:fill="auto"/>
            <w:noWrap/>
            <w:vAlign w:val="bottom"/>
            <w:hideMark/>
          </w:tcPr>
          <w:p w14:paraId="21E68ABE" w14:textId="4C7D1976" w:rsidR="00BB19F2" w:rsidRPr="00E9124E" w:rsidRDefault="00BB19F2" w:rsidP="00BB19F2">
            <w:pPr>
              <w:spacing w:after="0" w:line="240" w:lineRule="auto"/>
              <w:jc w:val="right"/>
              <w:rPr>
                <w:rFonts w:ascii="Calibri" w:eastAsia="Times New Roman" w:hAnsi="Calibri" w:cs="Calibri"/>
                <w:color w:val="000000"/>
                <w:lang w:val="fr-BE" w:eastAsia="en-GB"/>
              </w:rPr>
            </w:pPr>
            <w:r w:rsidRPr="006C088B">
              <w:rPr>
                <w:rFonts w:ascii="Calibri" w:eastAsia="Times New Roman" w:hAnsi="Calibri" w:cs="Calibri"/>
                <w:color w:val="000000"/>
                <w:lang w:val="en-GB" w:eastAsia="en-GB"/>
              </w:rPr>
              <w:t>83 088</w:t>
            </w:r>
          </w:p>
        </w:tc>
        <w:tc>
          <w:tcPr>
            <w:tcW w:w="1579" w:type="dxa"/>
            <w:tcBorders>
              <w:top w:val="nil"/>
              <w:left w:val="nil"/>
              <w:bottom w:val="nil"/>
              <w:right w:val="single" w:sz="4" w:space="0" w:color="auto"/>
            </w:tcBorders>
            <w:shd w:val="clear" w:color="auto" w:fill="auto"/>
            <w:noWrap/>
            <w:vAlign w:val="bottom"/>
            <w:hideMark/>
          </w:tcPr>
          <w:p w14:paraId="24656DE5" w14:textId="7646AAD1" w:rsidR="00BB19F2" w:rsidRPr="00E9124E" w:rsidRDefault="00BB19F2" w:rsidP="00BB19F2">
            <w:pPr>
              <w:spacing w:after="0" w:line="240" w:lineRule="auto"/>
              <w:jc w:val="right"/>
              <w:rPr>
                <w:rFonts w:ascii="Calibri" w:eastAsia="Times New Roman" w:hAnsi="Calibri" w:cs="Calibri"/>
                <w:color w:val="000000"/>
                <w:lang w:val="fr-BE" w:eastAsia="en-GB"/>
              </w:rPr>
            </w:pPr>
            <w:r w:rsidRPr="006C088B">
              <w:rPr>
                <w:rFonts w:ascii="Calibri" w:eastAsia="Times New Roman" w:hAnsi="Calibri" w:cs="Calibri"/>
                <w:color w:val="000000"/>
                <w:lang w:val="en-GB" w:eastAsia="en-GB"/>
              </w:rPr>
              <w:t>49 045</w:t>
            </w:r>
          </w:p>
        </w:tc>
      </w:tr>
      <w:tr w:rsidR="00BB19F2" w:rsidRPr="00C8277F" w14:paraId="44F63377" w14:textId="77777777" w:rsidTr="00AC1388">
        <w:trPr>
          <w:trHeight w:val="300"/>
        </w:trPr>
        <w:tc>
          <w:tcPr>
            <w:tcW w:w="2820" w:type="dxa"/>
            <w:tcBorders>
              <w:top w:val="nil"/>
              <w:left w:val="single" w:sz="4" w:space="0" w:color="auto"/>
              <w:bottom w:val="nil"/>
              <w:right w:val="single" w:sz="4" w:space="0" w:color="auto"/>
            </w:tcBorders>
            <w:shd w:val="clear" w:color="000000" w:fill="D6DCE4"/>
            <w:noWrap/>
            <w:vAlign w:val="bottom"/>
            <w:hideMark/>
          </w:tcPr>
          <w:p w14:paraId="4312FF90" w14:textId="21E00186" w:rsidR="00BB19F2" w:rsidRPr="00E9124E" w:rsidRDefault="00BB19F2" w:rsidP="00BB19F2">
            <w:pPr>
              <w:spacing w:after="0" w:line="240" w:lineRule="auto"/>
              <w:rPr>
                <w:rFonts w:ascii="Calibri" w:eastAsia="Times New Roman" w:hAnsi="Calibri" w:cs="Calibri"/>
                <w:b/>
                <w:bCs/>
                <w:color w:val="000000"/>
                <w:lang w:val="fr-BE" w:eastAsia="en-GB"/>
              </w:rPr>
            </w:pPr>
            <w:r>
              <w:rPr>
                <w:rFonts w:ascii="Calibri" w:eastAsia="Times New Roman" w:hAnsi="Calibri" w:cs="Calibri"/>
                <w:b/>
                <w:bCs/>
                <w:color w:val="000000"/>
                <w:lang w:val="fr-BE" w:eastAsia="en-GB"/>
              </w:rPr>
              <w:t>Pouvoirs publics</w:t>
            </w:r>
          </w:p>
        </w:tc>
        <w:tc>
          <w:tcPr>
            <w:tcW w:w="1760" w:type="dxa"/>
            <w:tcBorders>
              <w:top w:val="nil"/>
              <w:left w:val="nil"/>
              <w:bottom w:val="nil"/>
              <w:right w:val="nil"/>
            </w:tcBorders>
            <w:shd w:val="clear" w:color="auto" w:fill="auto"/>
            <w:noWrap/>
            <w:vAlign w:val="bottom"/>
            <w:hideMark/>
          </w:tcPr>
          <w:p w14:paraId="4AE3090F" w14:textId="101403CC" w:rsidR="00BB19F2" w:rsidRPr="00E9124E" w:rsidRDefault="00BB19F2" w:rsidP="00BB19F2">
            <w:pPr>
              <w:spacing w:after="0" w:line="240" w:lineRule="auto"/>
              <w:jc w:val="right"/>
              <w:rPr>
                <w:rFonts w:ascii="Calibri" w:eastAsia="Times New Roman" w:hAnsi="Calibri" w:cs="Calibri"/>
                <w:color w:val="000000"/>
                <w:lang w:val="fr-BE" w:eastAsia="en-GB"/>
              </w:rPr>
            </w:pPr>
            <w:r>
              <w:rPr>
                <w:rFonts w:ascii="Calibri" w:hAnsi="Calibri" w:cs="Calibri"/>
                <w:color w:val="000000"/>
                <w:lang w:val="en-GB"/>
              </w:rPr>
              <w:t>1 391,694</w:t>
            </w:r>
          </w:p>
        </w:tc>
        <w:tc>
          <w:tcPr>
            <w:tcW w:w="1941" w:type="dxa"/>
            <w:tcBorders>
              <w:top w:val="nil"/>
              <w:left w:val="single" w:sz="4" w:space="0" w:color="auto"/>
              <w:bottom w:val="nil"/>
              <w:right w:val="single" w:sz="4" w:space="0" w:color="auto"/>
            </w:tcBorders>
            <w:shd w:val="clear" w:color="auto" w:fill="auto"/>
            <w:noWrap/>
            <w:vAlign w:val="bottom"/>
            <w:hideMark/>
          </w:tcPr>
          <w:p w14:paraId="02DF64D0" w14:textId="6AE263ED" w:rsidR="00BB19F2" w:rsidRPr="00E9124E" w:rsidRDefault="00BB19F2" w:rsidP="00BB19F2">
            <w:pPr>
              <w:spacing w:after="0" w:line="240" w:lineRule="auto"/>
              <w:jc w:val="right"/>
              <w:rPr>
                <w:rFonts w:ascii="Calibri" w:eastAsia="Times New Roman" w:hAnsi="Calibri" w:cs="Calibri"/>
                <w:color w:val="000000"/>
                <w:lang w:val="fr-BE" w:eastAsia="en-GB"/>
              </w:rPr>
            </w:pPr>
            <w:r>
              <w:rPr>
                <w:rFonts w:ascii="Calibri" w:hAnsi="Calibri" w:cs="Calibri"/>
                <w:color w:val="000000"/>
                <w:lang w:val="en-GB"/>
              </w:rPr>
              <w:t>8 702</w:t>
            </w:r>
          </w:p>
        </w:tc>
        <w:tc>
          <w:tcPr>
            <w:tcW w:w="1579" w:type="dxa"/>
            <w:tcBorders>
              <w:top w:val="nil"/>
              <w:left w:val="nil"/>
              <w:bottom w:val="nil"/>
              <w:right w:val="single" w:sz="4" w:space="0" w:color="auto"/>
            </w:tcBorders>
            <w:shd w:val="clear" w:color="auto" w:fill="auto"/>
            <w:noWrap/>
            <w:vAlign w:val="bottom"/>
            <w:hideMark/>
          </w:tcPr>
          <w:p w14:paraId="4F2B234D" w14:textId="0A206B7E" w:rsidR="00BB19F2" w:rsidRPr="00E9124E" w:rsidRDefault="00BB19F2" w:rsidP="00BB19F2">
            <w:pPr>
              <w:spacing w:after="0" w:line="240" w:lineRule="auto"/>
              <w:jc w:val="right"/>
              <w:rPr>
                <w:rFonts w:ascii="Calibri" w:eastAsia="Times New Roman" w:hAnsi="Calibri" w:cs="Calibri"/>
                <w:color w:val="000000"/>
                <w:lang w:val="fr-BE" w:eastAsia="en-GB"/>
              </w:rPr>
            </w:pPr>
            <w:r>
              <w:rPr>
                <w:rFonts w:ascii="Calibri" w:hAnsi="Calibri" w:cs="Calibri"/>
                <w:color w:val="000000"/>
                <w:lang w:val="en-GB"/>
              </w:rPr>
              <w:t>6 324</w:t>
            </w:r>
          </w:p>
        </w:tc>
      </w:tr>
      <w:tr w:rsidR="00BB19F2" w:rsidRPr="00C8277F" w14:paraId="7891CA11" w14:textId="77777777" w:rsidTr="00AC1388">
        <w:trPr>
          <w:trHeight w:val="300"/>
        </w:trPr>
        <w:tc>
          <w:tcPr>
            <w:tcW w:w="2820" w:type="dxa"/>
            <w:tcBorders>
              <w:top w:val="nil"/>
              <w:left w:val="single" w:sz="4" w:space="0" w:color="auto"/>
              <w:bottom w:val="nil"/>
              <w:right w:val="single" w:sz="4" w:space="0" w:color="auto"/>
            </w:tcBorders>
            <w:shd w:val="clear" w:color="000000" w:fill="D6DCE4"/>
            <w:noWrap/>
            <w:vAlign w:val="bottom"/>
            <w:hideMark/>
          </w:tcPr>
          <w:p w14:paraId="34213BB1" w14:textId="6B12C7D5" w:rsidR="00BB19F2" w:rsidRPr="00E9124E" w:rsidRDefault="00BB19F2" w:rsidP="00BB19F2">
            <w:pPr>
              <w:spacing w:after="0" w:line="240" w:lineRule="auto"/>
              <w:rPr>
                <w:rFonts w:ascii="Calibri" w:eastAsia="Times New Roman" w:hAnsi="Calibri" w:cs="Calibri"/>
                <w:b/>
                <w:bCs/>
                <w:color w:val="000000"/>
                <w:lang w:val="fr-BE" w:eastAsia="en-GB"/>
              </w:rPr>
            </w:pPr>
            <w:r w:rsidRPr="00E9124E">
              <w:rPr>
                <w:rFonts w:ascii="Calibri" w:eastAsia="Times New Roman" w:hAnsi="Calibri" w:cs="Calibri"/>
                <w:b/>
                <w:bCs/>
                <w:color w:val="000000"/>
                <w:lang w:val="fr-BE" w:eastAsia="en-GB"/>
              </w:rPr>
              <w:t>Enseignement supérieur</w:t>
            </w:r>
          </w:p>
        </w:tc>
        <w:tc>
          <w:tcPr>
            <w:tcW w:w="1760" w:type="dxa"/>
            <w:tcBorders>
              <w:top w:val="nil"/>
              <w:left w:val="nil"/>
              <w:bottom w:val="nil"/>
              <w:right w:val="nil"/>
            </w:tcBorders>
            <w:shd w:val="clear" w:color="auto" w:fill="auto"/>
            <w:noWrap/>
            <w:vAlign w:val="bottom"/>
            <w:hideMark/>
          </w:tcPr>
          <w:p w14:paraId="79FBB882" w14:textId="18C885EF" w:rsidR="00BB19F2" w:rsidRPr="00E9124E" w:rsidRDefault="00BB19F2" w:rsidP="00BB19F2">
            <w:pPr>
              <w:spacing w:after="0" w:line="240" w:lineRule="auto"/>
              <w:jc w:val="right"/>
              <w:rPr>
                <w:rFonts w:ascii="Calibri" w:eastAsia="Times New Roman" w:hAnsi="Calibri" w:cs="Calibri"/>
                <w:color w:val="000000"/>
                <w:lang w:val="fr-BE" w:eastAsia="en-GB"/>
              </w:rPr>
            </w:pPr>
            <w:r>
              <w:rPr>
                <w:rFonts w:ascii="Calibri" w:hAnsi="Calibri" w:cs="Calibri"/>
                <w:color w:val="000000"/>
                <w:lang w:val="en-GB"/>
              </w:rPr>
              <w:t>2 477,896</w:t>
            </w:r>
          </w:p>
        </w:tc>
        <w:tc>
          <w:tcPr>
            <w:tcW w:w="1941" w:type="dxa"/>
            <w:tcBorders>
              <w:top w:val="nil"/>
              <w:left w:val="single" w:sz="4" w:space="0" w:color="auto"/>
              <w:bottom w:val="nil"/>
              <w:right w:val="single" w:sz="4" w:space="0" w:color="auto"/>
            </w:tcBorders>
            <w:shd w:val="clear" w:color="auto" w:fill="auto"/>
            <w:noWrap/>
            <w:vAlign w:val="bottom"/>
            <w:hideMark/>
          </w:tcPr>
          <w:p w14:paraId="48E250CE" w14:textId="5FC6EE66" w:rsidR="00BB19F2" w:rsidRPr="00E9124E" w:rsidRDefault="00BB19F2" w:rsidP="00BB19F2">
            <w:pPr>
              <w:spacing w:after="0" w:line="240" w:lineRule="auto"/>
              <w:jc w:val="right"/>
              <w:rPr>
                <w:rFonts w:ascii="Calibri" w:eastAsia="Times New Roman" w:hAnsi="Calibri" w:cs="Calibri"/>
                <w:color w:val="000000"/>
                <w:lang w:val="fr-BE" w:eastAsia="en-GB"/>
              </w:rPr>
            </w:pPr>
            <w:r>
              <w:rPr>
                <w:rFonts w:ascii="Calibri" w:hAnsi="Calibri" w:cs="Calibri"/>
                <w:color w:val="000000"/>
                <w:lang w:val="en-GB"/>
              </w:rPr>
              <w:t>24 984</w:t>
            </w:r>
          </w:p>
        </w:tc>
        <w:tc>
          <w:tcPr>
            <w:tcW w:w="1579" w:type="dxa"/>
            <w:tcBorders>
              <w:top w:val="nil"/>
              <w:left w:val="nil"/>
              <w:bottom w:val="nil"/>
              <w:right w:val="single" w:sz="4" w:space="0" w:color="auto"/>
            </w:tcBorders>
            <w:shd w:val="clear" w:color="auto" w:fill="auto"/>
            <w:noWrap/>
            <w:vAlign w:val="bottom"/>
            <w:hideMark/>
          </w:tcPr>
          <w:p w14:paraId="2D42D929" w14:textId="6DB4B151" w:rsidR="00BB19F2" w:rsidRPr="00E9124E" w:rsidRDefault="00BB19F2" w:rsidP="00BB19F2">
            <w:pPr>
              <w:spacing w:after="0" w:line="240" w:lineRule="auto"/>
              <w:jc w:val="right"/>
              <w:rPr>
                <w:rFonts w:ascii="Calibri" w:eastAsia="Times New Roman" w:hAnsi="Calibri" w:cs="Calibri"/>
                <w:color w:val="000000"/>
                <w:lang w:val="fr-BE" w:eastAsia="en-GB"/>
              </w:rPr>
            </w:pPr>
            <w:r>
              <w:rPr>
                <w:rFonts w:ascii="Calibri" w:hAnsi="Calibri" w:cs="Calibri"/>
                <w:color w:val="000000"/>
                <w:lang w:val="en-GB"/>
              </w:rPr>
              <w:t>19 831</w:t>
            </w:r>
          </w:p>
        </w:tc>
      </w:tr>
      <w:tr w:rsidR="00BB19F2" w:rsidRPr="00C8277F" w14:paraId="4167A353" w14:textId="77777777" w:rsidTr="00AC1388">
        <w:trPr>
          <w:trHeight w:val="300"/>
        </w:trPr>
        <w:tc>
          <w:tcPr>
            <w:tcW w:w="2820" w:type="dxa"/>
            <w:tcBorders>
              <w:top w:val="nil"/>
              <w:left w:val="single" w:sz="4" w:space="0" w:color="auto"/>
              <w:bottom w:val="single" w:sz="4" w:space="0" w:color="auto"/>
              <w:right w:val="single" w:sz="4" w:space="0" w:color="auto"/>
            </w:tcBorders>
            <w:shd w:val="clear" w:color="000000" w:fill="D6DCE4"/>
            <w:noWrap/>
            <w:vAlign w:val="bottom"/>
            <w:hideMark/>
          </w:tcPr>
          <w:p w14:paraId="0C01D5A8" w14:textId="1C176C09" w:rsidR="00BB19F2" w:rsidRPr="00E9124E" w:rsidRDefault="00BB19F2" w:rsidP="00BB19F2">
            <w:pPr>
              <w:spacing w:after="0" w:line="240" w:lineRule="auto"/>
              <w:rPr>
                <w:rFonts w:ascii="Calibri" w:eastAsia="Times New Roman" w:hAnsi="Calibri" w:cs="Calibri"/>
                <w:b/>
                <w:bCs/>
                <w:color w:val="000000"/>
                <w:lang w:val="fr-BE" w:eastAsia="en-GB"/>
              </w:rPr>
            </w:pPr>
            <w:r w:rsidRPr="00E9124E">
              <w:rPr>
                <w:rFonts w:ascii="Calibri" w:eastAsia="Times New Roman" w:hAnsi="Calibri" w:cs="Calibri"/>
                <w:b/>
                <w:bCs/>
                <w:color w:val="000000"/>
                <w:lang w:val="fr-BE" w:eastAsia="en-GB"/>
              </w:rPr>
              <w:t>Secteur sans but lucratif</w:t>
            </w:r>
          </w:p>
        </w:tc>
        <w:tc>
          <w:tcPr>
            <w:tcW w:w="1760" w:type="dxa"/>
            <w:tcBorders>
              <w:top w:val="nil"/>
              <w:left w:val="nil"/>
              <w:bottom w:val="single" w:sz="4" w:space="0" w:color="auto"/>
              <w:right w:val="nil"/>
            </w:tcBorders>
            <w:shd w:val="clear" w:color="auto" w:fill="auto"/>
            <w:noWrap/>
            <w:vAlign w:val="bottom"/>
            <w:hideMark/>
          </w:tcPr>
          <w:p w14:paraId="3D6E3BAA" w14:textId="480370B4" w:rsidR="00BB19F2" w:rsidRPr="00E9124E" w:rsidRDefault="00BB19F2" w:rsidP="00BB19F2">
            <w:pPr>
              <w:spacing w:after="0" w:line="240" w:lineRule="auto"/>
              <w:jc w:val="right"/>
              <w:rPr>
                <w:rFonts w:ascii="Calibri" w:eastAsia="Times New Roman" w:hAnsi="Calibri" w:cs="Calibri"/>
                <w:color w:val="000000"/>
                <w:lang w:val="fr-BE" w:eastAsia="en-GB"/>
              </w:rPr>
            </w:pPr>
            <w:r>
              <w:rPr>
                <w:rFonts w:ascii="Calibri" w:hAnsi="Calibri" w:cs="Calibri"/>
                <w:color w:val="000000"/>
                <w:lang w:val="en-GB"/>
              </w:rPr>
              <w:t>109,491</w:t>
            </w:r>
          </w:p>
        </w:tc>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48F3B3FC" w14:textId="47078208" w:rsidR="00BB19F2" w:rsidRPr="00E9124E" w:rsidRDefault="00BB19F2" w:rsidP="00BB19F2">
            <w:pPr>
              <w:spacing w:after="0" w:line="240" w:lineRule="auto"/>
              <w:jc w:val="right"/>
              <w:rPr>
                <w:rFonts w:ascii="Calibri" w:eastAsia="Times New Roman" w:hAnsi="Calibri" w:cs="Calibri"/>
                <w:color w:val="000000"/>
                <w:lang w:val="fr-BE" w:eastAsia="en-GB"/>
              </w:rPr>
            </w:pPr>
            <w:r>
              <w:rPr>
                <w:rFonts w:ascii="Calibri" w:hAnsi="Calibri" w:cs="Calibri"/>
                <w:color w:val="000000"/>
                <w:lang w:val="en-GB"/>
              </w:rPr>
              <w:t>2 692</w:t>
            </w:r>
          </w:p>
        </w:tc>
        <w:tc>
          <w:tcPr>
            <w:tcW w:w="1579" w:type="dxa"/>
            <w:tcBorders>
              <w:top w:val="nil"/>
              <w:left w:val="nil"/>
              <w:bottom w:val="single" w:sz="4" w:space="0" w:color="auto"/>
              <w:right w:val="single" w:sz="4" w:space="0" w:color="auto"/>
            </w:tcBorders>
            <w:shd w:val="clear" w:color="auto" w:fill="auto"/>
            <w:noWrap/>
            <w:vAlign w:val="bottom"/>
            <w:hideMark/>
          </w:tcPr>
          <w:p w14:paraId="484CB279" w14:textId="0614422E" w:rsidR="00BB19F2" w:rsidRPr="00E9124E" w:rsidRDefault="00BB19F2" w:rsidP="00BB19F2">
            <w:pPr>
              <w:spacing w:after="0" w:line="240" w:lineRule="auto"/>
              <w:jc w:val="right"/>
              <w:rPr>
                <w:rFonts w:ascii="Calibri" w:eastAsia="Times New Roman" w:hAnsi="Calibri" w:cs="Calibri"/>
                <w:color w:val="000000"/>
                <w:lang w:val="fr-BE" w:eastAsia="en-GB"/>
              </w:rPr>
            </w:pPr>
            <w:r>
              <w:rPr>
                <w:rFonts w:ascii="Calibri" w:hAnsi="Calibri" w:cs="Calibri"/>
                <w:color w:val="000000"/>
                <w:lang w:val="en-GB"/>
              </w:rPr>
              <w:t>1 112</w:t>
            </w:r>
          </w:p>
        </w:tc>
      </w:tr>
      <w:tr w:rsidR="00BB19F2" w:rsidRPr="00C8277F" w14:paraId="2F8BA2F4" w14:textId="77777777" w:rsidTr="00AC1388">
        <w:trPr>
          <w:trHeight w:val="300"/>
        </w:trPr>
        <w:tc>
          <w:tcPr>
            <w:tcW w:w="2820" w:type="dxa"/>
            <w:tcBorders>
              <w:top w:val="nil"/>
              <w:left w:val="single" w:sz="4" w:space="0" w:color="auto"/>
              <w:bottom w:val="single" w:sz="4" w:space="0" w:color="auto"/>
              <w:right w:val="single" w:sz="4" w:space="0" w:color="auto"/>
            </w:tcBorders>
            <w:shd w:val="clear" w:color="000000" w:fill="D6DCE4"/>
            <w:noWrap/>
            <w:vAlign w:val="bottom"/>
            <w:hideMark/>
          </w:tcPr>
          <w:p w14:paraId="3FF1790D" w14:textId="499862BF" w:rsidR="00BB19F2" w:rsidRPr="00E9124E" w:rsidRDefault="00BB19F2" w:rsidP="00BB19F2">
            <w:pPr>
              <w:spacing w:after="0" w:line="240" w:lineRule="auto"/>
              <w:rPr>
                <w:rFonts w:ascii="Calibri" w:eastAsia="Times New Roman" w:hAnsi="Calibri" w:cs="Calibri"/>
                <w:b/>
                <w:bCs/>
                <w:color w:val="000000"/>
                <w:lang w:val="fr-BE" w:eastAsia="en-GB"/>
              </w:rPr>
            </w:pPr>
            <w:r w:rsidRPr="00E9124E">
              <w:rPr>
                <w:rFonts w:ascii="Calibri" w:eastAsia="Times New Roman" w:hAnsi="Calibri" w:cs="Calibri"/>
                <w:b/>
                <w:bCs/>
                <w:color w:val="000000"/>
                <w:lang w:val="fr-BE" w:eastAsia="en-GB"/>
              </w:rPr>
              <w:t>Total</w:t>
            </w:r>
          </w:p>
        </w:tc>
        <w:tc>
          <w:tcPr>
            <w:tcW w:w="1760" w:type="dxa"/>
            <w:tcBorders>
              <w:top w:val="nil"/>
              <w:left w:val="nil"/>
              <w:bottom w:val="single" w:sz="4" w:space="0" w:color="auto"/>
              <w:right w:val="single" w:sz="4" w:space="0" w:color="auto"/>
            </w:tcBorders>
            <w:shd w:val="clear" w:color="auto" w:fill="auto"/>
            <w:noWrap/>
            <w:vAlign w:val="bottom"/>
            <w:hideMark/>
          </w:tcPr>
          <w:p w14:paraId="2DBDAFA8" w14:textId="523B86F2" w:rsidR="00BB19F2" w:rsidRPr="00E9124E" w:rsidRDefault="00BB19F2" w:rsidP="00BB19F2">
            <w:pPr>
              <w:spacing w:after="0" w:line="240" w:lineRule="auto"/>
              <w:jc w:val="right"/>
              <w:rPr>
                <w:rFonts w:ascii="Calibri" w:eastAsia="Times New Roman" w:hAnsi="Calibri" w:cs="Calibri"/>
                <w:color w:val="000000"/>
                <w:lang w:val="fr-BE" w:eastAsia="en-GB"/>
              </w:rPr>
            </w:pPr>
            <w:r w:rsidRPr="006C088B">
              <w:rPr>
                <w:rFonts w:ascii="Calibri" w:eastAsia="Times New Roman" w:hAnsi="Calibri" w:cs="Calibri"/>
                <w:color w:val="000000"/>
                <w:lang w:val="en-GB" w:eastAsia="en-GB"/>
              </w:rPr>
              <w:t>16 151,868</w:t>
            </w:r>
          </w:p>
        </w:tc>
        <w:tc>
          <w:tcPr>
            <w:tcW w:w="1941" w:type="dxa"/>
            <w:tcBorders>
              <w:top w:val="nil"/>
              <w:left w:val="nil"/>
              <w:bottom w:val="single" w:sz="4" w:space="0" w:color="auto"/>
              <w:right w:val="nil"/>
            </w:tcBorders>
            <w:shd w:val="clear" w:color="auto" w:fill="auto"/>
            <w:noWrap/>
            <w:vAlign w:val="bottom"/>
            <w:hideMark/>
          </w:tcPr>
          <w:p w14:paraId="610881E4" w14:textId="50B4E082" w:rsidR="00BB19F2" w:rsidRPr="00E9124E" w:rsidRDefault="00BB19F2" w:rsidP="00BB19F2">
            <w:pPr>
              <w:spacing w:after="0" w:line="240" w:lineRule="auto"/>
              <w:jc w:val="right"/>
              <w:rPr>
                <w:rFonts w:ascii="Calibri" w:eastAsia="Times New Roman" w:hAnsi="Calibri" w:cs="Calibri"/>
                <w:color w:val="000000"/>
                <w:lang w:val="fr-BE" w:eastAsia="en-GB"/>
              </w:rPr>
            </w:pPr>
            <w:r w:rsidRPr="006C088B">
              <w:rPr>
                <w:rFonts w:ascii="Calibri" w:eastAsia="Times New Roman" w:hAnsi="Calibri" w:cs="Calibri"/>
                <w:color w:val="000000"/>
                <w:lang w:val="en-GB" w:eastAsia="en-GB"/>
              </w:rPr>
              <w:t>119 466</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14:paraId="1E6BFB12" w14:textId="4615B8F6" w:rsidR="00BB19F2" w:rsidRPr="00E9124E" w:rsidRDefault="00BB19F2" w:rsidP="00BB19F2">
            <w:pPr>
              <w:spacing w:after="0" w:line="240" w:lineRule="auto"/>
              <w:jc w:val="right"/>
              <w:rPr>
                <w:rFonts w:ascii="Calibri" w:eastAsia="Times New Roman" w:hAnsi="Calibri" w:cs="Calibri"/>
                <w:color w:val="000000"/>
                <w:lang w:val="fr-BE" w:eastAsia="en-GB"/>
              </w:rPr>
            </w:pPr>
            <w:r w:rsidRPr="006C088B">
              <w:rPr>
                <w:rFonts w:ascii="Calibri" w:eastAsia="Times New Roman" w:hAnsi="Calibri" w:cs="Calibri"/>
                <w:color w:val="000000"/>
                <w:lang w:val="en-GB" w:eastAsia="en-GB"/>
              </w:rPr>
              <w:t>76 312</w:t>
            </w:r>
          </w:p>
        </w:tc>
      </w:tr>
    </w:tbl>
    <w:p w14:paraId="1FC082D1" w14:textId="60916722" w:rsidR="009D338B" w:rsidRPr="00E9124E" w:rsidRDefault="009D338B">
      <w:pPr>
        <w:rPr>
          <w:lang w:val="fr-BE"/>
        </w:rPr>
      </w:pPr>
    </w:p>
    <w:p w14:paraId="0EAA8796" w14:textId="2E6729DA" w:rsidR="009D338B" w:rsidRPr="00E9124E" w:rsidRDefault="00D816CF">
      <w:pPr>
        <w:rPr>
          <w:b/>
          <w:bCs/>
          <w:lang w:val="fr-BE"/>
        </w:rPr>
      </w:pPr>
      <w:r w:rsidRPr="00E9124E">
        <w:rPr>
          <w:b/>
          <w:bCs/>
          <w:lang w:val="fr-BE"/>
        </w:rPr>
        <w:t>Tabl</w:t>
      </w:r>
      <w:r w:rsidR="000A7D37" w:rsidRPr="00E9124E">
        <w:rPr>
          <w:b/>
          <w:bCs/>
          <w:lang w:val="fr-BE"/>
        </w:rPr>
        <w:t>e</w:t>
      </w:r>
      <w:r w:rsidRPr="00E9124E">
        <w:rPr>
          <w:b/>
          <w:bCs/>
          <w:lang w:val="fr-BE"/>
        </w:rPr>
        <w:t xml:space="preserve"> 1.2. </w:t>
      </w:r>
      <w:r w:rsidR="00707DAC">
        <w:rPr>
          <w:b/>
          <w:bCs/>
          <w:lang w:val="fr-BE"/>
        </w:rPr>
        <w:t xml:space="preserve">Chiffres provisoires de </w:t>
      </w:r>
      <w:r w:rsidR="00444784">
        <w:rPr>
          <w:b/>
          <w:bCs/>
          <w:lang w:val="fr-BE"/>
        </w:rPr>
        <w:t>R-D</w:t>
      </w:r>
      <w:r w:rsidR="00707DAC">
        <w:rPr>
          <w:b/>
          <w:bCs/>
          <w:lang w:val="fr-BE"/>
        </w:rPr>
        <w:t xml:space="preserve"> régionaux</w:t>
      </w:r>
      <w:r w:rsidRPr="00E9124E">
        <w:rPr>
          <w:b/>
          <w:bCs/>
          <w:lang w:val="fr-BE"/>
        </w:rPr>
        <w:t xml:space="preserve"> </w:t>
      </w:r>
      <w:r w:rsidR="00161580" w:rsidRPr="00E9124E">
        <w:rPr>
          <w:b/>
          <w:bCs/>
          <w:lang w:val="fr-BE"/>
        </w:rPr>
        <w:t>pour</w:t>
      </w:r>
      <w:r w:rsidRPr="00E9124E">
        <w:rPr>
          <w:b/>
          <w:bCs/>
          <w:lang w:val="fr-BE"/>
        </w:rPr>
        <w:t xml:space="preserve"> 202</w:t>
      </w:r>
      <w:r w:rsidR="00FA15C1">
        <w:rPr>
          <w:b/>
          <w:bCs/>
          <w:lang w:val="fr-BE"/>
        </w:rPr>
        <w:t>1</w:t>
      </w:r>
      <w:r w:rsidRPr="00E9124E">
        <w:rPr>
          <w:b/>
          <w:bCs/>
          <w:lang w:val="fr-BE"/>
        </w:rPr>
        <w:t xml:space="preserve"> (</w:t>
      </w:r>
      <w:r w:rsidR="00161580" w:rsidRPr="00E9124E">
        <w:rPr>
          <w:b/>
          <w:bCs/>
          <w:lang w:val="fr-BE"/>
        </w:rPr>
        <w:t>pour</w:t>
      </w:r>
      <w:r w:rsidRPr="00E9124E">
        <w:rPr>
          <w:b/>
          <w:bCs/>
          <w:lang w:val="fr-BE"/>
        </w:rPr>
        <w:t xml:space="preserve"> </w:t>
      </w:r>
      <w:r w:rsidR="00161580" w:rsidRPr="00E9124E">
        <w:rPr>
          <w:b/>
          <w:bCs/>
          <w:lang w:val="fr-BE"/>
        </w:rPr>
        <w:t>le</w:t>
      </w:r>
      <w:r w:rsidRPr="00E9124E">
        <w:rPr>
          <w:b/>
          <w:bCs/>
          <w:lang w:val="fr-BE"/>
        </w:rPr>
        <w:t xml:space="preserve"> total </w:t>
      </w:r>
      <w:r w:rsidR="00161580" w:rsidRPr="00E9124E">
        <w:rPr>
          <w:b/>
          <w:bCs/>
          <w:lang w:val="fr-BE"/>
        </w:rPr>
        <w:t>des</w:t>
      </w:r>
      <w:r w:rsidRPr="00E9124E">
        <w:rPr>
          <w:b/>
          <w:bCs/>
          <w:lang w:val="fr-BE"/>
        </w:rPr>
        <w:t xml:space="preserve"> sect</w:t>
      </w:r>
      <w:r w:rsidR="00161580" w:rsidRPr="00E9124E">
        <w:rPr>
          <w:b/>
          <w:bCs/>
          <w:lang w:val="fr-BE"/>
        </w:rPr>
        <w:t>eurs</w:t>
      </w:r>
      <w:r w:rsidR="00707DAC">
        <w:rPr>
          <w:b/>
          <w:bCs/>
          <w:lang w:val="fr-BE"/>
        </w:rPr>
        <w:t xml:space="preserve"> d’exécution</w:t>
      </w:r>
      <w:r w:rsidRPr="00E9124E">
        <w:rPr>
          <w:b/>
          <w:bCs/>
          <w:lang w:val="fr-BE"/>
        </w:rPr>
        <w:t>)</w:t>
      </w:r>
    </w:p>
    <w:p w14:paraId="23C8CB52" w14:textId="5A194179" w:rsidR="00AB3509" w:rsidRDefault="00161580" w:rsidP="004C137A">
      <w:pPr>
        <w:jc w:val="both"/>
        <w:rPr>
          <w:lang w:val="fr-BE"/>
        </w:rPr>
      </w:pPr>
      <w:r w:rsidRPr="00FC3CFA">
        <w:rPr>
          <w:lang w:val="fr-BE"/>
        </w:rPr>
        <w:t xml:space="preserve">Les chiffres </w:t>
      </w:r>
      <w:r w:rsidR="005B4414" w:rsidRPr="00FC3CFA">
        <w:rPr>
          <w:lang w:val="fr-BE"/>
        </w:rPr>
        <w:t xml:space="preserve">préliminaires au niveau national </w:t>
      </w:r>
      <w:r w:rsidRPr="00FC3CFA">
        <w:rPr>
          <w:lang w:val="fr-BE"/>
        </w:rPr>
        <w:t xml:space="preserve">sont calculés </w:t>
      </w:r>
      <w:r w:rsidR="004660F6" w:rsidRPr="00FC3CFA">
        <w:rPr>
          <w:lang w:val="fr-BE"/>
        </w:rPr>
        <w:t xml:space="preserve">en prenant la somme </w:t>
      </w:r>
      <w:r w:rsidR="002A28BA" w:rsidRPr="00FC3CFA">
        <w:rPr>
          <w:lang w:val="fr-BE"/>
        </w:rPr>
        <w:t>de</w:t>
      </w:r>
      <w:r w:rsidR="004660F6" w:rsidRPr="00FC3CFA">
        <w:rPr>
          <w:lang w:val="fr-BE"/>
        </w:rPr>
        <w:t>s</w:t>
      </w:r>
      <w:r w:rsidR="002A28BA" w:rsidRPr="00FC3CFA">
        <w:rPr>
          <w:lang w:val="fr-BE"/>
        </w:rPr>
        <w:t xml:space="preserve"> </w:t>
      </w:r>
      <w:r w:rsidRPr="00FC3CFA">
        <w:rPr>
          <w:lang w:val="fr-BE"/>
        </w:rPr>
        <w:t xml:space="preserve">prévisions </w:t>
      </w:r>
      <w:r w:rsidR="00912F32">
        <w:rPr>
          <w:lang w:val="fr-BE"/>
        </w:rPr>
        <w:t>par Région</w:t>
      </w:r>
      <w:r w:rsidRPr="00FC3CFA">
        <w:rPr>
          <w:lang w:val="fr-BE"/>
        </w:rPr>
        <w:t xml:space="preserve">. Pour le total des 4 secteurs, nous disposons de suffisamment de données fiables </w:t>
      </w:r>
      <w:r w:rsidR="00912F32">
        <w:rPr>
          <w:lang w:val="fr-BE"/>
        </w:rPr>
        <w:t>pour</w:t>
      </w:r>
      <w:r w:rsidR="00912F32" w:rsidRPr="00FC3CFA">
        <w:rPr>
          <w:lang w:val="fr-BE"/>
        </w:rPr>
        <w:t xml:space="preserve"> </w:t>
      </w:r>
      <w:r w:rsidRPr="00FC3CFA">
        <w:rPr>
          <w:lang w:val="fr-BE"/>
        </w:rPr>
        <w:t xml:space="preserve">de </w:t>
      </w:r>
      <w:r w:rsidR="00053F3E">
        <w:rPr>
          <w:lang w:val="fr-BE"/>
        </w:rPr>
        <w:t>établir</w:t>
      </w:r>
      <w:r w:rsidR="00053F3E" w:rsidRPr="00FC3CFA">
        <w:rPr>
          <w:lang w:val="fr-BE"/>
        </w:rPr>
        <w:t xml:space="preserve"> </w:t>
      </w:r>
      <w:r w:rsidRPr="00FC3CFA">
        <w:rPr>
          <w:lang w:val="fr-BE"/>
        </w:rPr>
        <w:t xml:space="preserve">un chiffre régional </w:t>
      </w:r>
      <w:r w:rsidR="005B4414" w:rsidRPr="00FC3CFA">
        <w:rPr>
          <w:lang w:val="fr-BE"/>
        </w:rPr>
        <w:t xml:space="preserve">provisoire </w:t>
      </w:r>
      <w:r w:rsidRPr="00FC3CFA">
        <w:rPr>
          <w:lang w:val="fr-BE"/>
        </w:rPr>
        <w:t xml:space="preserve">pour chacune des trois variables. Il n'est pas possible de calculer un chiffre régional </w:t>
      </w:r>
      <w:r w:rsidR="005B4414" w:rsidRPr="00FC3CFA">
        <w:rPr>
          <w:lang w:val="fr-BE"/>
        </w:rPr>
        <w:t xml:space="preserve">provisoire </w:t>
      </w:r>
      <w:r w:rsidRPr="00FC3CFA">
        <w:rPr>
          <w:lang w:val="fr-BE"/>
        </w:rPr>
        <w:t xml:space="preserve">pour chaque secteur </w:t>
      </w:r>
      <w:r w:rsidR="003F142E">
        <w:rPr>
          <w:lang w:val="fr-BE"/>
        </w:rPr>
        <w:t xml:space="preserve">d’exécution </w:t>
      </w:r>
      <w:r w:rsidRPr="00FC3CFA">
        <w:rPr>
          <w:lang w:val="fr-BE"/>
        </w:rPr>
        <w:t>séparément.</w:t>
      </w:r>
    </w:p>
    <w:p w14:paraId="48B9E0E2" w14:textId="77777777" w:rsidR="00AB595A" w:rsidRDefault="00AB595A" w:rsidP="004C137A">
      <w:pPr>
        <w:jc w:val="both"/>
        <w:rPr>
          <w:lang w:val="fr-BE"/>
        </w:rPr>
      </w:pPr>
    </w:p>
    <w:p w14:paraId="5CFDBD3B" w14:textId="77777777" w:rsidR="00AB595A" w:rsidRDefault="00AB595A" w:rsidP="004C137A">
      <w:pPr>
        <w:jc w:val="both"/>
        <w:rPr>
          <w:lang w:val="fr-BE"/>
        </w:rPr>
      </w:pPr>
    </w:p>
    <w:p w14:paraId="4A69E09B" w14:textId="77777777" w:rsidR="00AC1388" w:rsidRDefault="00AC1388" w:rsidP="004C137A">
      <w:pPr>
        <w:jc w:val="both"/>
        <w:rPr>
          <w:lang w:val="fr-BE"/>
        </w:rPr>
      </w:pPr>
    </w:p>
    <w:p w14:paraId="7E08CEDC" w14:textId="6368B940" w:rsidR="00A00A42" w:rsidRPr="00E9124E" w:rsidRDefault="0002309D" w:rsidP="004C137A">
      <w:pPr>
        <w:jc w:val="both"/>
        <w:rPr>
          <w:lang w:val="fr-BE"/>
        </w:rPr>
      </w:pPr>
      <w:r>
        <w:rPr>
          <w:lang w:val="fr-BE"/>
        </w:rPr>
        <w:t xml:space="preserve">Pour l’évaluation de ces montants régionaux, une approche géographique et non institutionnelle est utilisée. En d’autres termes, la distinction entre Régions et Communautés n’est pas </w:t>
      </w:r>
      <w:r w:rsidR="005B4528">
        <w:rPr>
          <w:lang w:val="fr-BE"/>
        </w:rPr>
        <w:t>faite</w:t>
      </w:r>
      <w:r>
        <w:rPr>
          <w:lang w:val="fr-BE"/>
        </w:rPr>
        <w:t xml:space="preserve">. Les activités de </w:t>
      </w:r>
      <w:r w:rsidR="00444784">
        <w:rPr>
          <w:lang w:val="fr-BE"/>
        </w:rPr>
        <w:t>R-D</w:t>
      </w:r>
      <w:r>
        <w:rPr>
          <w:lang w:val="fr-BE"/>
        </w:rPr>
        <w:t xml:space="preserve"> effectuées par une entité dépendant d’une Communauté sont allouées à la Région où se situe l’activité.</w:t>
      </w:r>
    </w:p>
    <w:tbl>
      <w:tblPr>
        <w:tblW w:w="7938" w:type="dxa"/>
        <w:tblLook w:val="04A0" w:firstRow="1" w:lastRow="0" w:firstColumn="1" w:lastColumn="0" w:noHBand="0" w:noVBand="1"/>
      </w:tblPr>
      <w:tblGrid>
        <w:gridCol w:w="1985"/>
        <w:gridCol w:w="2126"/>
        <w:gridCol w:w="1843"/>
        <w:gridCol w:w="1984"/>
      </w:tblGrid>
      <w:tr w:rsidR="00146AD7" w:rsidRPr="00146AD7" w14:paraId="3DC9CC31" w14:textId="77777777" w:rsidTr="00146AD7">
        <w:trPr>
          <w:trHeight w:val="300"/>
        </w:trPr>
        <w:tc>
          <w:tcPr>
            <w:tcW w:w="1985" w:type="dxa"/>
            <w:tcBorders>
              <w:top w:val="nil"/>
              <w:left w:val="nil"/>
              <w:bottom w:val="nil"/>
              <w:right w:val="nil"/>
            </w:tcBorders>
            <w:shd w:val="clear" w:color="auto" w:fill="auto"/>
            <w:noWrap/>
            <w:vAlign w:val="bottom"/>
            <w:hideMark/>
          </w:tcPr>
          <w:p w14:paraId="388633EB" w14:textId="77777777" w:rsidR="00146AD7" w:rsidRPr="008C46EF" w:rsidRDefault="00146AD7" w:rsidP="00146AD7">
            <w:pPr>
              <w:spacing w:after="0" w:line="240" w:lineRule="auto"/>
              <w:rPr>
                <w:rFonts w:ascii="Times New Roman" w:eastAsia="Times New Roman" w:hAnsi="Times New Roman" w:cs="Times New Roman"/>
                <w:sz w:val="24"/>
                <w:szCs w:val="24"/>
                <w:lang w:val="fr-BE" w:eastAsia="en-GB"/>
              </w:rPr>
            </w:pPr>
          </w:p>
        </w:tc>
        <w:tc>
          <w:tcPr>
            <w:tcW w:w="2126" w:type="dxa"/>
            <w:tcBorders>
              <w:top w:val="single" w:sz="4" w:space="0" w:color="auto"/>
              <w:left w:val="single" w:sz="4" w:space="0" w:color="auto"/>
              <w:bottom w:val="nil"/>
              <w:right w:val="nil"/>
            </w:tcBorders>
            <w:shd w:val="clear" w:color="000000" w:fill="D6DCE4"/>
            <w:noWrap/>
            <w:vAlign w:val="center"/>
            <w:hideMark/>
          </w:tcPr>
          <w:p w14:paraId="0F828A64" w14:textId="10E6B719" w:rsidR="00146AD7" w:rsidRPr="00146AD7" w:rsidRDefault="00146AD7" w:rsidP="00146AD7">
            <w:pPr>
              <w:spacing w:after="0" w:line="240" w:lineRule="auto"/>
              <w:jc w:val="center"/>
              <w:rPr>
                <w:rFonts w:ascii="Calibri" w:eastAsia="Times New Roman" w:hAnsi="Calibri" w:cs="Calibri"/>
                <w:b/>
                <w:bCs/>
                <w:color w:val="000000"/>
                <w:lang w:val="en-GB" w:eastAsia="en-GB"/>
              </w:rPr>
            </w:pPr>
            <w:r w:rsidRPr="00146AD7">
              <w:rPr>
                <w:rFonts w:ascii="Calibri" w:eastAsia="Times New Roman" w:hAnsi="Calibri" w:cs="Calibri"/>
                <w:b/>
                <w:bCs/>
                <w:color w:val="000000"/>
                <w:lang w:val="en-GB" w:eastAsia="en-GB"/>
              </w:rPr>
              <w:t xml:space="preserve">Dépenses </w:t>
            </w:r>
            <w:r w:rsidR="003F142E">
              <w:rPr>
                <w:rFonts w:ascii="Calibri" w:eastAsia="Times New Roman" w:hAnsi="Calibri" w:cs="Calibri"/>
                <w:b/>
                <w:bCs/>
                <w:color w:val="000000"/>
                <w:lang w:val="en-GB" w:eastAsia="en-GB"/>
              </w:rPr>
              <w:t xml:space="preserve">de </w:t>
            </w:r>
            <w:r w:rsidR="00444784">
              <w:rPr>
                <w:rFonts w:ascii="Calibri" w:eastAsia="Times New Roman" w:hAnsi="Calibri" w:cs="Calibri"/>
                <w:b/>
                <w:bCs/>
                <w:color w:val="000000"/>
                <w:lang w:val="en-GB" w:eastAsia="en-GB"/>
              </w:rPr>
              <w:t>R-D</w:t>
            </w:r>
          </w:p>
        </w:tc>
        <w:tc>
          <w:tcPr>
            <w:tcW w:w="1843" w:type="dxa"/>
            <w:tcBorders>
              <w:top w:val="single" w:sz="4" w:space="0" w:color="auto"/>
              <w:left w:val="single" w:sz="4" w:space="0" w:color="auto"/>
              <w:bottom w:val="nil"/>
              <w:right w:val="single" w:sz="4" w:space="0" w:color="auto"/>
            </w:tcBorders>
            <w:shd w:val="clear" w:color="000000" w:fill="D6DCE4"/>
            <w:noWrap/>
            <w:vAlign w:val="center"/>
            <w:hideMark/>
          </w:tcPr>
          <w:p w14:paraId="1E03C931" w14:textId="02CA09D3" w:rsidR="00146AD7" w:rsidRPr="00146AD7" w:rsidRDefault="00146AD7" w:rsidP="00146AD7">
            <w:pPr>
              <w:spacing w:after="0" w:line="240" w:lineRule="auto"/>
              <w:jc w:val="center"/>
              <w:rPr>
                <w:rFonts w:ascii="Calibri" w:eastAsia="Times New Roman" w:hAnsi="Calibri" w:cs="Calibri"/>
                <w:b/>
                <w:bCs/>
                <w:color w:val="000000"/>
                <w:lang w:val="en-GB" w:eastAsia="en-GB"/>
              </w:rPr>
            </w:pPr>
            <w:r w:rsidRPr="00146AD7">
              <w:rPr>
                <w:rFonts w:ascii="Calibri" w:eastAsia="Times New Roman" w:hAnsi="Calibri" w:cs="Calibri"/>
                <w:b/>
                <w:bCs/>
                <w:color w:val="000000"/>
                <w:lang w:val="en-GB" w:eastAsia="en-GB"/>
              </w:rPr>
              <w:t xml:space="preserve">Personnel </w:t>
            </w:r>
            <w:r w:rsidR="003F142E">
              <w:rPr>
                <w:rFonts w:ascii="Calibri" w:eastAsia="Times New Roman" w:hAnsi="Calibri" w:cs="Calibri"/>
                <w:b/>
                <w:bCs/>
                <w:color w:val="000000"/>
                <w:lang w:val="en-GB" w:eastAsia="en-GB"/>
              </w:rPr>
              <w:t xml:space="preserve">de </w:t>
            </w:r>
            <w:r w:rsidR="00444784">
              <w:rPr>
                <w:rFonts w:ascii="Calibri" w:eastAsia="Times New Roman" w:hAnsi="Calibri" w:cs="Calibri"/>
                <w:b/>
                <w:bCs/>
                <w:color w:val="000000"/>
                <w:lang w:val="en-GB" w:eastAsia="en-GB"/>
              </w:rPr>
              <w:t>R-D</w:t>
            </w:r>
          </w:p>
        </w:tc>
        <w:tc>
          <w:tcPr>
            <w:tcW w:w="1984" w:type="dxa"/>
            <w:tcBorders>
              <w:top w:val="single" w:sz="4" w:space="0" w:color="auto"/>
              <w:left w:val="nil"/>
              <w:bottom w:val="nil"/>
              <w:right w:val="single" w:sz="4" w:space="0" w:color="auto"/>
            </w:tcBorders>
            <w:shd w:val="clear" w:color="000000" w:fill="D6DCE4"/>
            <w:noWrap/>
            <w:vAlign w:val="center"/>
            <w:hideMark/>
          </w:tcPr>
          <w:p w14:paraId="124A0C62" w14:textId="77777777" w:rsidR="00146AD7" w:rsidRPr="00146AD7" w:rsidRDefault="00146AD7" w:rsidP="00146AD7">
            <w:pPr>
              <w:spacing w:after="0" w:line="240" w:lineRule="auto"/>
              <w:jc w:val="center"/>
              <w:rPr>
                <w:rFonts w:ascii="Calibri" w:eastAsia="Times New Roman" w:hAnsi="Calibri" w:cs="Calibri"/>
                <w:b/>
                <w:bCs/>
                <w:color w:val="000000"/>
                <w:lang w:val="en-GB" w:eastAsia="en-GB"/>
              </w:rPr>
            </w:pPr>
            <w:r w:rsidRPr="00146AD7">
              <w:rPr>
                <w:rFonts w:ascii="Calibri" w:eastAsia="Times New Roman" w:hAnsi="Calibri" w:cs="Calibri"/>
                <w:b/>
                <w:bCs/>
                <w:color w:val="000000"/>
                <w:lang w:val="en-GB" w:eastAsia="en-GB"/>
              </w:rPr>
              <w:t>Chercheurs</w:t>
            </w:r>
          </w:p>
        </w:tc>
      </w:tr>
      <w:tr w:rsidR="00146AD7" w:rsidRPr="00146AD7" w14:paraId="2E66BF72" w14:textId="77777777" w:rsidTr="00146AD7">
        <w:trPr>
          <w:trHeight w:val="300"/>
        </w:trPr>
        <w:tc>
          <w:tcPr>
            <w:tcW w:w="1985" w:type="dxa"/>
            <w:tcBorders>
              <w:top w:val="nil"/>
              <w:left w:val="nil"/>
              <w:bottom w:val="nil"/>
              <w:right w:val="nil"/>
            </w:tcBorders>
            <w:shd w:val="clear" w:color="auto" w:fill="auto"/>
            <w:noWrap/>
            <w:vAlign w:val="bottom"/>
            <w:hideMark/>
          </w:tcPr>
          <w:p w14:paraId="01AB3D4F" w14:textId="77777777" w:rsidR="00146AD7" w:rsidRPr="00146AD7" w:rsidRDefault="00146AD7" w:rsidP="00146AD7">
            <w:pPr>
              <w:spacing w:after="0" w:line="240" w:lineRule="auto"/>
              <w:jc w:val="center"/>
              <w:rPr>
                <w:rFonts w:ascii="Calibri" w:eastAsia="Times New Roman" w:hAnsi="Calibri" w:cs="Calibri"/>
                <w:b/>
                <w:bCs/>
                <w:color w:val="000000"/>
                <w:lang w:val="en-GB" w:eastAsia="en-GB"/>
              </w:rPr>
            </w:pPr>
          </w:p>
        </w:tc>
        <w:tc>
          <w:tcPr>
            <w:tcW w:w="2126" w:type="dxa"/>
            <w:tcBorders>
              <w:top w:val="single" w:sz="4" w:space="0" w:color="auto"/>
              <w:left w:val="single" w:sz="4" w:space="0" w:color="auto"/>
              <w:bottom w:val="single" w:sz="4" w:space="0" w:color="auto"/>
              <w:right w:val="nil"/>
            </w:tcBorders>
            <w:shd w:val="clear" w:color="auto" w:fill="auto"/>
            <w:noWrap/>
            <w:vAlign w:val="center"/>
            <w:hideMark/>
          </w:tcPr>
          <w:p w14:paraId="215BBA72" w14:textId="77777777" w:rsidR="00146AD7" w:rsidRPr="00146AD7" w:rsidRDefault="00146AD7" w:rsidP="00146AD7">
            <w:pPr>
              <w:spacing w:after="0" w:line="240" w:lineRule="auto"/>
              <w:jc w:val="center"/>
              <w:rPr>
                <w:rFonts w:ascii="Calibri" w:eastAsia="Times New Roman" w:hAnsi="Calibri" w:cs="Calibri"/>
                <w:b/>
                <w:bCs/>
                <w:color w:val="000000"/>
                <w:lang w:val="en-GB" w:eastAsia="en-GB"/>
              </w:rPr>
            </w:pPr>
            <w:r w:rsidRPr="00146AD7">
              <w:rPr>
                <w:rFonts w:ascii="Calibri" w:eastAsia="Times New Roman" w:hAnsi="Calibri" w:cs="Calibri"/>
                <w:b/>
                <w:bCs/>
                <w:color w:val="000000"/>
                <w:lang w:val="en-GB" w:eastAsia="en-GB"/>
              </w:rPr>
              <w:t>(en million d'euros)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C6A7A" w14:textId="77777777" w:rsidR="00146AD7" w:rsidRPr="00146AD7" w:rsidRDefault="00146AD7" w:rsidP="00146AD7">
            <w:pPr>
              <w:spacing w:after="0" w:line="240" w:lineRule="auto"/>
              <w:jc w:val="center"/>
              <w:rPr>
                <w:rFonts w:ascii="Calibri" w:eastAsia="Times New Roman" w:hAnsi="Calibri" w:cs="Calibri"/>
                <w:b/>
                <w:bCs/>
                <w:color w:val="000000"/>
                <w:lang w:val="en-GB" w:eastAsia="en-GB"/>
              </w:rPr>
            </w:pPr>
            <w:r w:rsidRPr="00146AD7">
              <w:rPr>
                <w:rFonts w:ascii="Calibri" w:eastAsia="Times New Roman" w:hAnsi="Calibri" w:cs="Calibri"/>
                <w:b/>
                <w:bCs/>
                <w:color w:val="000000"/>
                <w:lang w:val="en-GB" w:eastAsia="en-GB"/>
              </w:rPr>
              <w:t>(en ETPs)</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25DAA9B" w14:textId="77777777" w:rsidR="00146AD7" w:rsidRPr="00146AD7" w:rsidRDefault="00146AD7" w:rsidP="00146AD7">
            <w:pPr>
              <w:spacing w:after="0" w:line="240" w:lineRule="auto"/>
              <w:jc w:val="center"/>
              <w:rPr>
                <w:rFonts w:ascii="Calibri" w:eastAsia="Times New Roman" w:hAnsi="Calibri" w:cs="Calibri"/>
                <w:b/>
                <w:bCs/>
                <w:color w:val="000000"/>
                <w:lang w:val="en-GB" w:eastAsia="en-GB"/>
              </w:rPr>
            </w:pPr>
            <w:r w:rsidRPr="00146AD7">
              <w:rPr>
                <w:rFonts w:ascii="Calibri" w:eastAsia="Times New Roman" w:hAnsi="Calibri" w:cs="Calibri"/>
                <w:b/>
                <w:bCs/>
                <w:color w:val="000000"/>
                <w:lang w:val="en-GB" w:eastAsia="en-GB"/>
              </w:rPr>
              <w:t>(en ETPs)</w:t>
            </w:r>
          </w:p>
        </w:tc>
      </w:tr>
      <w:tr w:rsidR="00146AD7" w:rsidRPr="00146AD7" w14:paraId="5A9EED88" w14:textId="77777777" w:rsidTr="00AB595A">
        <w:trPr>
          <w:trHeight w:val="300"/>
        </w:trPr>
        <w:tc>
          <w:tcPr>
            <w:tcW w:w="1985" w:type="dxa"/>
            <w:tcBorders>
              <w:top w:val="single" w:sz="4" w:space="0" w:color="auto"/>
              <w:left w:val="single" w:sz="4" w:space="0" w:color="auto"/>
              <w:bottom w:val="nil"/>
              <w:right w:val="single" w:sz="4" w:space="0" w:color="auto"/>
            </w:tcBorders>
            <w:shd w:val="clear" w:color="000000" w:fill="D6DCE4"/>
            <w:noWrap/>
            <w:vAlign w:val="bottom"/>
            <w:hideMark/>
          </w:tcPr>
          <w:p w14:paraId="36CB48AA" w14:textId="77777777" w:rsidR="00146AD7" w:rsidRPr="00146AD7" w:rsidRDefault="00146AD7" w:rsidP="00146AD7">
            <w:pPr>
              <w:spacing w:after="0" w:line="240" w:lineRule="auto"/>
              <w:rPr>
                <w:rFonts w:ascii="Calibri" w:eastAsia="Times New Roman" w:hAnsi="Calibri" w:cs="Calibri"/>
                <w:b/>
                <w:bCs/>
                <w:color w:val="000000"/>
                <w:lang w:val="en-GB" w:eastAsia="en-GB"/>
              </w:rPr>
            </w:pPr>
            <w:r w:rsidRPr="00146AD7">
              <w:rPr>
                <w:rFonts w:ascii="Calibri" w:eastAsia="Times New Roman" w:hAnsi="Calibri" w:cs="Calibri"/>
                <w:b/>
                <w:bCs/>
                <w:color w:val="000000"/>
                <w:lang w:val="en-GB" w:eastAsia="en-GB"/>
              </w:rPr>
              <w:t>Flandre</w:t>
            </w:r>
          </w:p>
        </w:tc>
        <w:tc>
          <w:tcPr>
            <w:tcW w:w="2126" w:type="dxa"/>
            <w:tcBorders>
              <w:top w:val="nil"/>
              <w:left w:val="nil"/>
              <w:bottom w:val="nil"/>
              <w:right w:val="nil"/>
            </w:tcBorders>
            <w:shd w:val="clear" w:color="auto" w:fill="auto"/>
            <w:noWrap/>
            <w:vAlign w:val="bottom"/>
          </w:tcPr>
          <w:p w14:paraId="2FAF69D7" w14:textId="0C9CC1A2" w:rsidR="00146AD7" w:rsidRPr="00146AD7" w:rsidRDefault="0084151D" w:rsidP="00146AD7">
            <w:pPr>
              <w:spacing w:after="0" w:line="240" w:lineRule="auto"/>
              <w:jc w:val="right"/>
              <w:rPr>
                <w:rFonts w:ascii="Calibri" w:eastAsia="Times New Roman" w:hAnsi="Calibri" w:cs="Calibri"/>
                <w:color w:val="000000"/>
                <w:lang w:val="en-GB" w:eastAsia="en-GB"/>
              </w:rPr>
            </w:pPr>
            <w:r w:rsidRPr="0084151D">
              <w:rPr>
                <w:rFonts w:ascii="Calibri" w:eastAsia="Times New Roman" w:hAnsi="Calibri" w:cs="Calibri"/>
                <w:color w:val="000000"/>
                <w:lang w:val="en-GB" w:eastAsia="en-GB"/>
              </w:rPr>
              <w:t>9 603,600</w:t>
            </w:r>
          </w:p>
        </w:tc>
        <w:tc>
          <w:tcPr>
            <w:tcW w:w="1843" w:type="dxa"/>
            <w:tcBorders>
              <w:top w:val="nil"/>
              <w:left w:val="single" w:sz="4" w:space="0" w:color="auto"/>
              <w:bottom w:val="nil"/>
              <w:right w:val="single" w:sz="4" w:space="0" w:color="auto"/>
            </w:tcBorders>
            <w:shd w:val="clear" w:color="auto" w:fill="auto"/>
            <w:noWrap/>
            <w:vAlign w:val="bottom"/>
            <w:hideMark/>
          </w:tcPr>
          <w:p w14:paraId="777C2CE7" w14:textId="642E070B" w:rsidR="00146AD7" w:rsidRPr="00146AD7" w:rsidRDefault="0084151D" w:rsidP="00146AD7">
            <w:pPr>
              <w:spacing w:after="0" w:line="240" w:lineRule="auto"/>
              <w:jc w:val="right"/>
              <w:rPr>
                <w:rFonts w:ascii="Calibri" w:eastAsia="Times New Roman" w:hAnsi="Calibri" w:cs="Calibri"/>
                <w:color w:val="000000"/>
                <w:lang w:val="en-GB" w:eastAsia="en-GB"/>
              </w:rPr>
            </w:pPr>
            <w:r w:rsidRPr="0084151D">
              <w:rPr>
                <w:rFonts w:ascii="Calibri" w:eastAsia="Times New Roman" w:hAnsi="Calibri" w:cs="Calibri"/>
                <w:color w:val="000000"/>
                <w:lang w:val="en-GB" w:eastAsia="en-GB"/>
              </w:rPr>
              <w:t>73 954</w:t>
            </w:r>
          </w:p>
        </w:tc>
        <w:tc>
          <w:tcPr>
            <w:tcW w:w="1984" w:type="dxa"/>
            <w:tcBorders>
              <w:top w:val="nil"/>
              <w:left w:val="nil"/>
              <w:bottom w:val="nil"/>
              <w:right w:val="single" w:sz="4" w:space="0" w:color="auto"/>
            </w:tcBorders>
            <w:shd w:val="clear" w:color="auto" w:fill="auto"/>
            <w:noWrap/>
            <w:vAlign w:val="bottom"/>
            <w:hideMark/>
          </w:tcPr>
          <w:p w14:paraId="71D384EA" w14:textId="541E9301" w:rsidR="00146AD7" w:rsidRPr="00146AD7" w:rsidRDefault="0084151D" w:rsidP="00146AD7">
            <w:pPr>
              <w:spacing w:after="0" w:line="240" w:lineRule="auto"/>
              <w:jc w:val="right"/>
              <w:rPr>
                <w:rFonts w:ascii="Calibri" w:eastAsia="Times New Roman" w:hAnsi="Calibri" w:cs="Calibri"/>
                <w:color w:val="000000"/>
                <w:lang w:val="en-GB" w:eastAsia="en-GB"/>
              </w:rPr>
            </w:pPr>
            <w:r w:rsidRPr="0084151D">
              <w:rPr>
                <w:rFonts w:ascii="Calibri" w:eastAsia="Times New Roman" w:hAnsi="Calibri" w:cs="Calibri"/>
                <w:color w:val="000000"/>
                <w:lang w:val="en-GB" w:eastAsia="en-GB"/>
              </w:rPr>
              <w:t>46 170</w:t>
            </w:r>
          </w:p>
        </w:tc>
      </w:tr>
      <w:tr w:rsidR="00146AD7" w:rsidRPr="00146AD7" w14:paraId="7381B0ED" w14:textId="77777777" w:rsidTr="00146AD7">
        <w:trPr>
          <w:trHeight w:val="300"/>
        </w:trPr>
        <w:tc>
          <w:tcPr>
            <w:tcW w:w="1985" w:type="dxa"/>
            <w:tcBorders>
              <w:top w:val="nil"/>
              <w:left w:val="single" w:sz="4" w:space="0" w:color="auto"/>
              <w:bottom w:val="nil"/>
              <w:right w:val="single" w:sz="4" w:space="0" w:color="auto"/>
            </w:tcBorders>
            <w:shd w:val="clear" w:color="000000" w:fill="D6DCE4"/>
            <w:noWrap/>
            <w:vAlign w:val="bottom"/>
            <w:hideMark/>
          </w:tcPr>
          <w:p w14:paraId="1E0B633C" w14:textId="77777777" w:rsidR="00146AD7" w:rsidRPr="00146AD7" w:rsidRDefault="00146AD7" w:rsidP="00146AD7">
            <w:pPr>
              <w:spacing w:after="0" w:line="240" w:lineRule="auto"/>
              <w:rPr>
                <w:rFonts w:ascii="Calibri" w:eastAsia="Times New Roman" w:hAnsi="Calibri" w:cs="Calibri"/>
                <w:b/>
                <w:bCs/>
                <w:color w:val="000000"/>
                <w:lang w:val="en-GB" w:eastAsia="en-GB"/>
              </w:rPr>
            </w:pPr>
            <w:r w:rsidRPr="00146AD7">
              <w:rPr>
                <w:rFonts w:ascii="Calibri" w:eastAsia="Times New Roman" w:hAnsi="Calibri" w:cs="Calibri"/>
                <w:b/>
                <w:bCs/>
                <w:color w:val="000000"/>
                <w:lang w:val="en-GB" w:eastAsia="en-GB"/>
              </w:rPr>
              <w:t>Wallonie</w:t>
            </w:r>
          </w:p>
        </w:tc>
        <w:tc>
          <w:tcPr>
            <w:tcW w:w="2126" w:type="dxa"/>
            <w:tcBorders>
              <w:top w:val="nil"/>
              <w:left w:val="nil"/>
              <w:bottom w:val="nil"/>
              <w:right w:val="nil"/>
            </w:tcBorders>
            <w:shd w:val="clear" w:color="auto" w:fill="auto"/>
            <w:noWrap/>
            <w:vAlign w:val="bottom"/>
            <w:hideMark/>
          </w:tcPr>
          <w:p w14:paraId="35EAACB2" w14:textId="06FB92E4" w:rsidR="00146AD7" w:rsidRPr="00146AD7" w:rsidRDefault="0084151D" w:rsidP="00146AD7">
            <w:pPr>
              <w:spacing w:after="0" w:line="240" w:lineRule="auto"/>
              <w:jc w:val="right"/>
              <w:rPr>
                <w:rFonts w:ascii="Calibri" w:eastAsia="Times New Roman" w:hAnsi="Calibri" w:cs="Calibri"/>
                <w:color w:val="000000"/>
                <w:lang w:val="en-GB" w:eastAsia="en-GB"/>
              </w:rPr>
            </w:pPr>
            <w:r w:rsidRPr="0084151D">
              <w:rPr>
                <w:rFonts w:ascii="Calibri" w:eastAsia="Times New Roman" w:hAnsi="Calibri" w:cs="Calibri"/>
                <w:color w:val="000000"/>
                <w:lang w:val="en-GB" w:eastAsia="en-GB"/>
              </w:rPr>
              <w:t>4 025,425</w:t>
            </w:r>
          </w:p>
        </w:tc>
        <w:tc>
          <w:tcPr>
            <w:tcW w:w="1843" w:type="dxa"/>
            <w:tcBorders>
              <w:top w:val="nil"/>
              <w:left w:val="single" w:sz="4" w:space="0" w:color="auto"/>
              <w:bottom w:val="nil"/>
              <w:right w:val="single" w:sz="4" w:space="0" w:color="auto"/>
            </w:tcBorders>
            <w:shd w:val="clear" w:color="auto" w:fill="auto"/>
            <w:noWrap/>
            <w:vAlign w:val="bottom"/>
            <w:hideMark/>
          </w:tcPr>
          <w:p w14:paraId="06EFEF7A" w14:textId="6DD6F0AC" w:rsidR="00146AD7" w:rsidRPr="00146AD7" w:rsidRDefault="0084151D" w:rsidP="00146AD7">
            <w:pPr>
              <w:spacing w:after="0" w:line="240" w:lineRule="auto"/>
              <w:jc w:val="right"/>
              <w:rPr>
                <w:rFonts w:ascii="Calibri" w:eastAsia="Times New Roman" w:hAnsi="Calibri" w:cs="Calibri"/>
                <w:color w:val="000000"/>
                <w:lang w:val="en-GB" w:eastAsia="en-GB"/>
              </w:rPr>
            </w:pPr>
            <w:r w:rsidRPr="0084151D">
              <w:rPr>
                <w:rFonts w:ascii="Calibri" w:eastAsia="Times New Roman" w:hAnsi="Calibri" w:cs="Calibri"/>
                <w:color w:val="000000"/>
                <w:lang w:val="en-GB" w:eastAsia="en-GB"/>
              </w:rPr>
              <w:t>25 093</w:t>
            </w:r>
          </w:p>
        </w:tc>
        <w:tc>
          <w:tcPr>
            <w:tcW w:w="1984" w:type="dxa"/>
            <w:tcBorders>
              <w:top w:val="nil"/>
              <w:left w:val="nil"/>
              <w:bottom w:val="nil"/>
              <w:right w:val="single" w:sz="4" w:space="0" w:color="auto"/>
            </w:tcBorders>
            <w:shd w:val="clear" w:color="auto" w:fill="auto"/>
            <w:noWrap/>
            <w:vAlign w:val="bottom"/>
            <w:hideMark/>
          </w:tcPr>
          <w:p w14:paraId="3DC2C162" w14:textId="78746A9F" w:rsidR="00146AD7" w:rsidRPr="00146AD7" w:rsidRDefault="0084151D" w:rsidP="00146AD7">
            <w:pPr>
              <w:spacing w:after="0" w:line="240" w:lineRule="auto"/>
              <w:jc w:val="right"/>
              <w:rPr>
                <w:rFonts w:ascii="Calibri" w:eastAsia="Times New Roman" w:hAnsi="Calibri" w:cs="Calibri"/>
                <w:color w:val="000000"/>
                <w:lang w:val="en-GB" w:eastAsia="en-GB"/>
              </w:rPr>
            </w:pPr>
            <w:r w:rsidRPr="0084151D">
              <w:rPr>
                <w:rFonts w:ascii="Calibri" w:eastAsia="Times New Roman" w:hAnsi="Calibri" w:cs="Calibri"/>
                <w:color w:val="000000"/>
                <w:lang w:val="en-GB" w:eastAsia="en-GB"/>
              </w:rPr>
              <w:t>16 703</w:t>
            </w:r>
          </w:p>
        </w:tc>
      </w:tr>
      <w:tr w:rsidR="00146AD7" w:rsidRPr="00146AD7" w14:paraId="72F6FEAA" w14:textId="77777777" w:rsidTr="00146AD7">
        <w:trPr>
          <w:trHeight w:val="300"/>
        </w:trPr>
        <w:tc>
          <w:tcPr>
            <w:tcW w:w="1985" w:type="dxa"/>
            <w:tcBorders>
              <w:top w:val="nil"/>
              <w:left w:val="single" w:sz="4" w:space="0" w:color="auto"/>
              <w:bottom w:val="nil"/>
              <w:right w:val="single" w:sz="4" w:space="0" w:color="auto"/>
            </w:tcBorders>
            <w:shd w:val="clear" w:color="000000" w:fill="D6DCE4"/>
            <w:noWrap/>
            <w:vAlign w:val="bottom"/>
            <w:hideMark/>
          </w:tcPr>
          <w:p w14:paraId="516D7C9E" w14:textId="77777777" w:rsidR="00146AD7" w:rsidRPr="00146AD7" w:rsidRDefault="00146AD7" w:rsidP="00146AD7">
            <w:pPr>
              <w:spacing w:after="0" w:line="240" w:lineRule="auto"/>
              <w:rPr>
                <w:rFonts w:ascii="Calibri" w:eastAsia="Times New Roman" w:hAnsi="Calibri" w:cs="Calibri"/>
                <w:b/>
                <w:bCs/>
                <w:color w:val="000000"/>
                <w:lang w:val="en-GB" w:eastAsia="en-GB"/>
              </w:rPr>
            </w:pPr>
            <w:r w:rsidRPr="00146AD7">
              <w:rPr>
                <w:rFonts w:ascii="Calibri" w:eastAsia="Times New Roman" w:hAnsi="Calibri" w:cs="Calibri"/>
                <w:b/>
                <w:bCs/>
                <w:color w:val="000000"/>
                <w:lang w:val="en-GB" w:eastAsia="en-GB"/>
              </w:rPr>
              <w:t>Bruxelles</w:t>
            </w:r>
          </w:p>
        </w:tc>
        <w:tc>
          <w:tcPr>
            <w:tcW w:w="2126" w:type="dxa"/>
            <w:tcBorders>
              <w:top w:val="nil"/>
              <w:left w:val="nil"/>
              <w:bottom w:val="nil"/>
              <w:right w:val="nil"/>
            </w:tcBorders>
            <w:shd w:val="clear" w:color="auto" w:fill="auto"/>
            <w:noWrap/>
            <w:vAlign w:val="bottom"/>
            <w:hideMark/>
          </w:tcPr>
          <w:p w14:paraId="70529170" w14:textId="0DEA0A94" w:rsidR="00146AD7" w:rsidRPr="00146AD7" w:rsidRDefault="0084151D" w:rsidP="00146AD7">
            <w:pPr>
              <w:spacing w:after="0" w:line="240" w:lineRule="auto"/>
              <w:jc w:val="right"/>
              <w:rPr>
                <w:rFonts w:ascii="Calibri" w:eastAsia="Times New Roman" w:hAnsi="Calibri" w:cs="Calibri"/>
                <w:color w:val="000000"/>
                <w:lang w:val="en-GB" w:eastAsia="en-GB"/>
              </w:rPr>
            </w:pPr>
            <w:r w:rsidRPr="0084151D">
              <w:rPr>
                <w:rFonts w:ascii="Calibri" w:eastAsia="Times New Roman" w:hAnsi="Calibri" w:cs="Calibri"/>
                <w:color w:val="000000"/>
                <w:lang w:val="en-GB" w:eastAsia="en-GB"/>
              </w:rPr>
              <w:t>2 522,844</w:t>
            </w:r>
          </w:p>
        </w:tc>
        <w:tc>
          <w:tcPr>
            <w:tcW w:w="1843" w:type="dxa"/>
            <w:tcBorders>
              <w:top w:val="nil"/>
              <w:left w:val="single" w:sz="4" w:space="0" w:color="auto"/>
              <w:bottom w:val="nil"/>
              <w:right w:val="single" w:sz="4" w:space="0" w:color="auto"/>
            </w:tcBorders>
            <w:shd w:val="clear" w:color="auto" w:fill="auto"/>
            <w:noWrap/>
            <w:vAlign w:val="bottom"/>
            <w:hideMark/>
          </w:tcPr>
          <w:p w14:paraId="2AA25FF0" w14:textId="1B76D83A" w:rsidR="00146AD7" w:rsidRPr="00146AD7" w:rsidRDefault="0084151D" w:rsidP="00146AD7">
            <w:pPr>
              <w:spacing w:after="0" w:line="240" w:lineRule="auto"/>
              <w:jc w:val="right"/>
              <w:rPr>
                <w:rFonts w:ascii="Calibri" w:eastAsia="Times New Roman" w:hAnsi="Calibri" w:cs="Calibri"/>
                <w:color w:val="000000"/>
                <w:lang w:val="en-GB" w:eastAsia="en-GB"/>
              </w:rPr>
            </w:pPr>
            <w:r w:rsidRPr="0084151D">
              <w:rPr>
                <w:rFonts w:ascii="Calibri" w:eastAsia="Times New Roman" w:hAnsi="Calibri" w:cs="Calibri"/>
                <w:color w:val="000000"/>
                <w:lang w:val="en-GB" w:eastAsia="en-GB"/>
              </w:rPr>
              <w:t>20 419</w:t>
            </w:r>
          </w:p>
        </w:tc>
        <w:tc>
          <w:tcPr>
            <w:tcW w:w="1984" w:type="dxa"/>
            <w:tcBorders>
              <w:top w:val="nil"/>
              <w:left w:val="nil"/>
              <w:bottom w:val="nil"/>
              <w:right w:val="single" w:sz="4" w:space="0" w:color="auto"/>
            </w:tcBorders>
            <w:shd w:val="clear" w:color="auto" w:fill="auto"/>
            <w:noWrap/>
            <w:vAlign w:val="bottom"/>
            <w:hideMark/>
          </w:tcPr>
          <w:p w14:paraId="3247438B" w14:textId="05AAFD19" w:rsidR="00146AD7" w:rsidRPr="00146AD7" w:rsidRDefault="0084151D" w:rsidP="00146AD7">
            <w:pPr>
              <w:spacing w:after="0" w:line="240" w:lineRule="auto"/>
              <w:jc w:val="right"/>
              <w:rPr>
                <w:rFonts w:ascii="Calibri" w:eastAsia="Times New Roman" w:hAnsi="Calibri" w:cs="Calibri"/>
                <w:color w:val="000000"/>
                <w:lang w:val="en-GB" w:eastAsia="en-GB"/>
              </w:rPr>
            </w:pPr>
            <w:r w:rsidRPr="0084151D">
              <w:rPr>
                <w:rFonts w:ascii="Calibri" w:eastAsia="Times New Roman" w:hAnsi="Calibri" w:cs="Calibri"/>
                <w:color w:val="000000"/>
                <w:lang w:val="en-GB" w:eastAsia="en-GB"/>
              </w:rPr>
              <w:t>13 439</w:t>
            </w:r>
          </w:p>
        </w:tc>
      </w:tr>
      <w:tr w:rsidR="00912F32" w:rsidRPr="00146AD7" w14:paraId="022A1B28" w14:textId="77777777" w:rsidTr="00146AD7">
        <w:trPr>
          <w:trHeight w:val="300"/>
        </w:trPr>
        <w:tc>
          <w:tcPr>
            <w:tcW w:w="1985"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0894B16E" w14:textId="77777777" w:rsidR="00912F32" w:rsidRPr="00146AD7" w:rsidRDefault="00912F32" w:rsidP="00912F32">
            <w:pPr>
              <w:spacing w:after="0" w:line="240" w:lineRule="auto"/>
              <w:rPr>
                <w:rFonts w:ascii="Calibri" w:eastAsia="Times New Roman" w:hAnsi="Calibri" w:cs="Calibri"/>
                <w:b/>
                <w:bCs/>
                <w:color w:val="000000"/>
                <w:lang w:val="en-GB" w:eastAsia="en-GB"/>
              </w:rPr>
            </w:pPr>
            <w:r w:rsidRPr="00146AD7">
              <w:rPr>
                <w:rFonts w:ascii="Calibri" w:eastAsia="Times New Roman" w:hAnsi="Calibri" w:cs="Calibri"/>
                <w:b/>
                <w:bCs/>
                <w:color w:val="000000"/>
                <w:lang w:val="en-GB" w:eastAsia="en-GB"/>
              </w:rPr>
              <w:t>Total</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4B676B34" w14:textId="1CBA305B" w:rsidR="00912F32" w:rsidRPr="00A966C7" w:rsidRDefault="00912F32" w:rsidP="00912F32">
            <w:pPr>
              <w:spacing w:after="0" w:line="240" w:lineRule="auto"/>
              <w:jc w:val="right"/>
              <w:rPr>
                <w:rFonts w:ascii="Calibri" w:eastAsia="Times New Roman" w:hAnsi="Calibri" w:cs="Calibri"/>
                <w:color w:val="000000"/>
                <w:lang w:val="en-GB" w:eastAsia="en-GB"/>
              </w:rPr>
            </w:pPr>
            <w:r w:rsidRPr="00A966C7">
              <w:rPr>
                <w:rFonts w:ascii="Calibri" w:eastAsia="Times New Roman" w:hAnsi="Calibri" w:cs="Calibri"/>
                <w:color w:val="000000"/>
                <w:lang w:val="en-GB" w:eastAsia="en-GB"/>
              </w:rPr>
              <w:t>16 151,868</w:t>
            </w:r>
          </w:p>
        </w:tc>
        <w:tc>
          <w:tcPr>
            <w:tcW w:w="1843" w:type="dxa"/>
            <w:tcBorders>
              <w:top w:val="single" w:sz="4" w:space="0" w:color="auto"/>
              <w:left w:val="nil"/>
              <w:bottom w:val="single" w:sz="4" w:space="0" w:color="auto"/>
              <w:right w:val="nil"/>
            </w:tcBorders>
            <w:shd w:val="clear" w:color="auto" w:fill="auto"/>
            <w:noWrap/>
            <w:vAlign w:val="bottom"/>
            <w:hideMark/>
          </w:tcPr>
          <w:p w14:paraId="5988841A" w14:textId="2DDDCFD4" w:rsidR="00912F32" w:rsidRPr="00A966C7" w:rsidRDefault="00912F32" w:rsidP="00912F32">
            <w:pPr>
              <w:spacing w:after="0" w:line="240" w:lineRule="auto"/>
              <w:jc w:val="right"/>
              <w:rPr>
                <w:rFonts w:ascii="Calibri" w:eastAsia="Times New Roman" w:hAnsi="Calibri" w:cs="Calibri"/>
                <w:color w:val="000000"/>
                <w:lang w:val="en-GB" w:eastAsia="en-GB"/>
              </w:rPr>
            </w:pPr>
            <w:r w:rsidRPr="00A966C7">
              <w:rPr>
                <w:rFonts w:ascii="Calibri" w:eastAsia="Times New Roman" w:hAnsi="Calibri" w:cs="Calibri"/>
                <w:color w:val="000000"/>
                <w:lang w:val="en-GB" w:eastAsia="en-GB"/>
              </w:rPr>
              <w:t>119 466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0CDF5" w14:textId="317AB768" w:rsidR="00912F32" w:rsidRPr="00A966C7" w:rsidRDefault="00912F32" w:rsidP="00912F32">
            <w:pPr>
              <w:spacing w:after="0" w:line="240" w:lineRule="auto"/>
              <w:jc w:val="right"/>
              <w:rPr>
                <w:rFonts w:ascii="Calibri" w:eastAsia="Times New Roman" w:hAnsi="Calibri" w:cs="Calibri"/>
                <w:color w:val="000000"/>
                <w:lang w:val="en-GB" w:eastAsia="en-GB"/>
              </w:rPr>
            </w:pPr>
            <w:r w:rsidRPr="00A966C7">
              <w:rPr>
                <w:rFonts w:ascii="Calibri" w:eastAsia="Times New Roman" w:hAnsi="Calibri" w:cs="Calibri"/>
                <w:color w:val="000000"/>
                <w:lang w:val="en-GB" w:eastAsia="en-GB"/>
              </w:rPr>
              <w:t>76 312</w:t>
            </w:r>
          </w:p>
        </w:tc>
      </w:tr>
    </w:tbl>
    <w:p w14:paraId="5CA0DB71" w14:textId="3BDED944" w:rsidR="00C723C6" w:rsidRPr="00E9124E" w:rsidRDefault="00C723C6">
      <w:pPr>
        <w:rPr>
          <w:lang w:val="fr-BE"/>
        </w:rPr>
      </w:pPr>
    </w:p>
    <w:p w14:paraId="6F41E203" w14:textId="2035CC4D" w:rsidR="00C723C6" w:rsidRPr="00E9124E" w:rsidRDefault="00D816CF">
      <w:pPr>
        <w:rPr>
          <w:u w:val="single"/>
          <w:lang w:val="fr-BE"/>
        </w:rPr>
      </w:pPr>
      <w:r w:rsidRPr="00E9124E">
        <w:rPr>
          <w:u w:val="single"/>
          <w:lang w:val="fr-BE"/>
        </w:rPr>
        <w:t xml:space="preserve">2. </w:t>
      </w:r>
      <w:r w:rsidR="007E13D6" w:rsidRPr="00E9124E">
        <w:rPr>
          <w:u w:val="single"/>
          <w:lang w:val="fr-BE"/>
        </w:rPr>
        <w:t>Intensit</w:t>
      </w:r>
      <w:r w:rsidR="007E13D6">
        <w:rPr>
          <w:u w:val="single"/>
          <w:lang w:val="fr-BE"/>
        </w:rPr>
        <w:t>é</w:t>
      </w:r>
      <w:r w:rsidR="007E13D6" w:rsidRPr="00E9124E">
        <w:rPr>
          <w:u w:val="single"/>
          <w:lang w:val="fr-BE"/>
        </w:rPr>
        <w:t xml:space="preserve"> </w:t>
      </w:r>
      <w:r w:rsidR="00161580" w:rsidRPr="00E9124E">
        <w:rPr>
          <w:u w:val="single"/>
          <w:lang w:val="fr-BE"/>
        </w:rPr>
        <w:t xml:space="preserve">de </w:t>
      </w:r>
      <w:r w:rsidR="00444784">
        <w:rPr>
          <w:u w:val="single"/>
          <w:lang w:val="fr-BE"/>
        </w:rPr>
        <w:t>R-D</w:t>
      </w:r>
    </w:p>
    <w:p w14:paraId="39FC72BE" w14:textId="0A698DDD" w:rsidR="00AB595A" w:rsidRDefault="00AB595A" w:rsidP="004C137A">
      <w:pPr>
        <w:jc w:val="both"/>
        <w:rPr>
          <w:lang w:val="fr-BE"/>
        </w:rPr>
      </w:pPr>
      <w:r w:rsidRPr="00AB595A">
        <w:rPr>
          <w:lang w:val="fr-BE"/>
        </w:rPr>
        <w:t xml:space="preserve">Pour une bonne compréhension de l'intensité de </w:t>
      </w:r>
      <w:r w:rsidR="00444784">
        <w:rPr>
          <w:lang w:val="fr-BE"/>
        </w:rPr>
        <w:t>R-D</w:t>
      </w:r>
      <w:r w:rsidRPr="00AB595A">
        <w:rPr>
          <w:lang w:val="fr-BE"/>
        </w:rPr>
        <w:t xml:space="preserve">, qui est calculée en divisant les dépenses préliminaires de </w:t>
      </w:r>
      <w:r w:rsidR="00444784">
        <w:rPr>
          <w:lang w:val="fr-BE"/>
        </w:rPr>
        <w:t>R-D</w:t>
      </w:r>
      <w:r w:rsidRPr="00AB595A">
        <w:rPr>
          <w:lang w:val="fr-BE"/>
        </w:rPr>
        <w:t xml:space="preserve"> par le PIB, les deux éléments de la fraction sont importants. En 2021, le produit intérieur brut de la Belgique a augmenté de 9,2% par rapport à l'année précédente, selon les estimations de la Banque nationale. Les chiffres préliminaires des dépenses de </w:t>
      </w:r>
      <w:r w:rsidR="00444784">
        <w:rPr>
          <w:lang w:val="fr-BE"/>
        </w:rPr>
        <w:t>R-D</w:t>
      </w:r>
      <w:r w:rsidRPr="00AB595A">
        <w:rPr>
          <w:lang w:val="fr-BE"/>
        </w:rPr>
        <w:t xml:space="preserve"> ont été déterminés à l'aide d'un modèle statistique basé sur les tendances passées, et prévoient une augmentation, étant donné que les chiffres ont eu tendance à augmenter au cours des années précédentes. La combinaison de ces deux éléments donne une baisse de l'intensité de </w:t>
      </w:r>
      <w:r w:rsidR="00444784">
        <w:rPr>
          <w:lang w:val="fr-BE"/>
        </w:rPr>
        <w:t>R-D</w:t>
      </w:r>
      <w:r w:rsidRPr="00AB595A">
        <w:rPr>
          <w:lang w:val="fr-BE"/>
        </w:rPr>
        <w:t xml:space="preserve"> de près de 7%, qui est due à une augmentation plus forte du PIB par rapport à l'augmentation des dépenses de </w:t>
      </w:r>
      <w:r w:rsidR="00444784">
        <w:rPr>
          <w:lang w:val="fr-BE"/>
        </w:rPr>
        <w:t>R-D</w:t>
      </w:r>
      <w:r w:rsidRPr="00AB595A">
        <w:rPr>
          <w:lang w:val="fr-BE"/>
        </w:rPr>
        <w:t>.</w:t>
      </w:r>
    </w:p>
    <w:p w14:paraId="7383B3D1" w14:textId="15E2FD52" w:rsidR="00D816CF" w:rsidRPr="00E9124E" w:rsidRDefault="000A7D37" w:rsidP="004C137A">
      <w:pPr>
        <w:jc w:val="both"/>
        <w:rPr>
          <w:lang w:val="fr-BE"/>
        </w:rPr>
      </w:pPr>
      <w:r w:rsidRPr="00E9124E">
        <w:rPr>
          <w:lang w:val="fr-BE"/>
        </w:rPr>
        <w:t xml:space="preserve">Les intensités de </w:t>
      </w:r>
      <w:r w:rsidR="00444784">
        <w:rPr>
          <w:lang w:val="fr-BE"/>
        </w:rPr>
        <w:t>R-D</w:t>
      </w:r>
      <w:r w:rsidRPr="00E9124E">
        <w:rPr>
          <w:lang w:val="fr-BE"/>
        </w:rPr>
        <w:t xml:space="preserve"> régionales peuvent être calculées à partir des dépenses régionales de </w:t>
      </w:r>
      <w:r w:rsidR="00444784">
        <w:rPr>
          <w:lang w:val="fr-BE"/>
        </w:rPr>
        <w:t>R-D</w:t>
      </w:r>
      <w:r w:rsidRPr="00E9124E">
        <w:rPr>
          <w:lang w:val="fr-BE"/>
        </w:rPr>
        <w:t xml:space="preserve"> et du produit </w:t>
      </w:r>
      <w:r w:rsidR="00FC3CFA">
        <w:rPr>
          <w:lang w:val="fr-BE"/>
        </w:rPr>
        <w:t>intérieur</w:t>
      </w:r>
      <w:r w:rsidR="00FC3CFA" w:rsidRPr="00E9124E">
        <w:rPr>
          <w:lang w:val="fr-BE"/>
        </w:rPr>
        <w:t xml:space="preserve"> </w:t>
      </w:r>
      <w:r w:rsidRPr="00E9124E">
        <w:rPr>
          <w:lang w:val="fr-BE"/>
        </w:rPr>
        <w:t>brut</w:t>
      </w:r>
      <w:r w:rsidR="00FC3CFA">
        <w:rPr>
          <w:lang w:val="fr-BE"/>
        </w:rPr>
        <w:t xml:space="preserve"> régional</w:t>
      </w:r>
      <w:r w:rsidRPr="00E9124E">
        <w:rPr>
          <w:lang w:val="fr-BE"/>
        </w:rPr>
        <w:t>.</w:t>
      </w:r>
    </w:p>
    <w:p w14:paraId="369379E4" w14:textId="52B7FC5D" w:rsidR="000A7D37" w:rsidRPr="00E9124E" w:rsidRDefault="000A7D37">
      <w:pPr>
        <w:rPr>
          <w:lang w:val="fr-BE"/>
        </w:rPr>
      </w:pPr>
    </w:p>
    <w:p w14:paraId="3D1F7BC5" w14:textId="1D6765E3" w:rsidR="00D816CF" w:rsidRPr="00E9124E" w:rsidRDefault="00D816CF">
      <w:pPr>
        <w:rPr>
          <w:b/>
          <w:bCs/>
          <w:lang w:val="fr-BE"/>
        </w:rPr>
      </w:pPr>
      <w:r w:rsidRPr="00FC3CFA">
        <w:rPr>
          <w:b/>
          <w:bCs/>
          <w:lang w:val="fr-BE"/>
        </w:rPr>
        <w:t>Tabl</w:t>
      </w:r>
      <w:r w:rsidR="000A7D37" w:rsidRPr="00FC3CFA">
        <w:rPr>
          <w:b/>
          <w:bCs/>
          <w:lang w:val="fr-BE"/>
        </w:rPr>
        <w:t>e</w:t>
      </w:r>
      <w:r w:rsidRPr="00FC3CFA">
        <w:rPr>
          <w:b/>
          <w:bCs/>
          <w:lang w:val="fr-BE"/>
        </w:rPr>
        <w:t xml:space="preserve"> 2.1. </w:t>
      </w:r>
      <w:r w:rsidR="000A7D37" w:rsidRPr="00FC3CFA">
        <w:rPr>
          <w:b/>
          <w:bCs/>
          <w:lang w:val="fr-BE"/>
        </w:rPr>
        <w:t>I</w:t>
      </w:r>
      <w:r w:rsidRPr="00FC3CFA">
        <w:rPr>
          <w:b/>
          <w:bCs/>
          <w:lang w:val="fr-BE"/>
        </w:rPr>
        <w:t>ntensit</w:t>
      </w:r>
      <w:r w:rsidR="000A7D37" w:rsidRPr="00FC3CFA">
        <w:rPr>
          <w:b/>
          <w:bCs/>
          <w:lang w:val="fr-BE"/>
        </w:rPr>
        <w:t>é</w:t>
      </w:r>
      <w:r w:rsidRPr="00FC3CFA">
        <w:rPr>
          <w:b/>
          <w:bCs/>
          <w:lang w:val="fr-BE"/>
        </w:rPr>
        <w:t xml:space="preserve"> </w:t>
      </w:r>
      <w:r w:rsidR="000A7D37" w:rsidRPr="00FC3CFA">
        <w:rPr>
          <w:b/>
          <w:bCs/>
          <w:lang w:val="fr-BE"/>
        </w:rPr>
        <w:t xml:space="preserve">de </w:t>
      </w:r>
      <w:r w:rsidR="00444784">
        <w:rPr>
          <w:b/>
          <w:bCs/>
          <w:lang w:val="fr-BE"/>
        </w:rPr>
        <w:t>R-D</w:t>
      </w:r>
      <w:r w:rsidR="000A7D37" w:rsidRPr="00FC3CFA">
        <w:rPr>
          <w:b/>
          <w:bCs/>
          <w:lang w:val="fr-BE"/>
        </w:rPr>
        <w:t xml:space="preserve"> en</w:t>
      </w:r>
      <w:r w:rsidRPr="00FC3CFA">
        <w:rPr>
          <w:b/>
          <w:bCs/>
          <w:lang w:val="fr-BE"/>
        </w:rPr>
        <w:t xml:space="preserve"> Belgi</w:t>
      </w:r>
      <w:r w:rsidR="000A7D37" w:rsidRPr="00FC3CFA">
        <w:rPr>
          <w:b/>
          <w:bCs/>
          <w:lang w:val="fr-BE"/>
        </w:rPr>
        <w:t>que</w:t>
      </w:r>
      <w:r w:rsidRPr="00FC3CFA">
        <w:rPr>
          <w:b/>
          <w:bCs/>
          <w:lang w:val="fr-BE"/>
        </w:rPr>
        <w:t xml:space="preserve"> </w:t>
      </w:r>
      <w:r w:rsidR="000A7D37" w:rsidRPr="00FC3CFA">
        <w:rPr>
          <w:b/>
          <w:bCs/>
          <w:lang w:val="fr-BE"/>
        </w:rPr>
        <w:t>e</w:t>
      </w:r>
      <w:r w:rsidRPr="00FC3CFA">
        <w:rPr>
          <w:b/>
          <w:bCs/>
          <w:lang w:val="fr-BE"/>
        </w:rPr>
        <w:t>n 202</w:t>
      </w:r>
      <w:r w:rsidR="005B4528">
        <w:rPr>
          <w:b/>
          <w:bCs/>
          <w:lang w:val="fr-BE"/>
        </w:rPr>
        <w:t>1</w:t>
      </w:r>
      <w:r w:rsidR="002A28BA" w:rsidRPr="00FC3CFA">
        <w:rPr>
          <w:b/>
          <w:bCs/>
          <w:lang w:val="fr-BE"/>
        </w:rPr>
        <w:t xml:space="preserve"> </w:t>
      </w:r>
      <w:r w:rsidR="005D3FE5" w:rsidRPr="00FC3CFA">
        <w:rPr>
          <w:b/>
          <w:bCs/>
          <w:lang w:val="fr-BE"/>
        </w:rPr>
        <w:t xml:space="preserve">sur base de chiffres préliminaires concernant les dépenses de </w:t>
      </w:r>
      <w:r w:rsidR="00444784">
        <w:rPr>
          <w:b/>
          <w:bCs/>
          <w:lang w:val="fr-BE"/>
        </w:rPr>
        <w:t>R-D</w:t>
      </w:r>
      <w:r w:rsidR="005D3FE5" w:rsidRPr="00FC3CFA">
        <w:rPr>
          <w:b/>
          <w:bCs/>
          <w:lang w:val="fr-BE"/>
        </w:rPr>
        <w:t xml:space="preserve"> en Belgique</w:t>
      </w:r>
    </w:p>
    <w:tbl>
      <w:tblPr>
        <w:tblW w:w="8789" w:type="dxa"/>
        <w:tblLook w:val="04A0" w:firstRow="1" w:lastRow="0" w:firstColumn="1" w:lastColumn="0" w:noHBand="0" w:noVBand="1"/>
      </w:tblPr>
      <w:tblGrid>
        <w:gridCol w:w="2268"/>
        <w:gridCol w:w="2410"/>
        <w:gridCol w:w="1559"/>
        <w:gridCol w:w="2552"/>
      </w:tblGrid>
      <w:tr w:rsidR="00697E07" w:rsidRPr="00697E07" w14:paraId="1CEBFFB3" w14:textId="77777777" w:rsidTr="00AB595A">
        <w:trPr>
          <w:trHeight w:val="263"/>
        </w:trPr>
        <w:tc>
          <w:tcPr>
            <w:tcW w:w="2268" w:type="dxa"/>
            <w:tcBorders>
              <w:top w:val="nil"/>
              <w:left w:val="nil"/>
              <w:bottom w:val="nil"/>
              <w:right w:val="nil"/>
            </w:tcBorders>
            <w:shd w:val="clear" w:color="auto" w:fill="auto"/>
            <w:noWrap/>
            <w:vAlign w:val="bottom"/>
            <w:hideMark/>
          </w:tcPr>
          <w:p w14:paraId="70170C1F" w14:textId="77777777" w:rsidR="00697E07" w:rsidRPr="008C46EF" w:rsidRDefault="00697E07" w:rsidP="00697E07">
            <w:pPr>
              <w:spacing w:after="0" w:line="240" w:lineRule="auto"/>
              <w:rPr>
                <w:rFonts w:ascii="Times New Roman" w:eastAsia="Times New Roman" w:hAnsi="Times New Roman" w:cs="Times New Roman"/>
                <w:sz w:val="24"/>
                <w:szCs w:val="24"/>
                <w:lang w:val="fr-BE" w:eastAsia="en-GB"/>
              </w:rPr>
            </w:pPr>
          </w:p>
        </w:tc>
        <w:tc>
          <w:tcPr>
            <w:tcW w:w="2410" w:type="dxa"/>
            <w:tcBorders>
              <w:top w:val="nil"/>
              <w:left w:val="nil"/>
              <w:bottom w:val="single" w:sz="4" w:space="0" w:color="auto"/>
              <w:right w:val="nil"/>
            </w:tcBorders>
            <w:shd w:val="clear" w:color="auto" w:fill="auto"/>
            <w:noWrap/>
            <w:vAlign w:val="bottom"/>
            <w:hideMark/>
          </w:tcPr>
          <w:p w14:paraId="3F38E5AA" w14:textId="77777777" w:rsidR="00697E07" w:rsidRPr="008C46EF" w:rsidRDefault="00697E07" w:rsidP="00697E07">
            <w:pPr>
              <w:spacing w:after="0" w:line="240" w:lineRule="auto"/>
              <w:rPr>
                <w:rFonts w:ascii="Calibri" w:eastAsia="Times New Roman" w:hAnsi="Calibri" w:cs="Calibri"/>
                <w:color w:val="000000"/>
                <w:lang w:val="fr-BE" w:eastAsia="en-GB"/>
              </w:rPr>
            </w:pPr>
            <w:r w:rsidRPr="008C46EF">
              <w:rPr>
                <w:rFonts w:ascii="Calibri" w:eastAsia="Times New Roman" w:hAnsi="Calibri" w:cs="Calibri"/>
                <w:color w:val="000000"/>
                <w:lang w:val="fr-BE" w:eastAsia="en-GB"/>
              </w:rPr>
              <w:t> </w:t>
            </w:r>
          </w:p>
        </w:tc>
        <w:tc>
          <w:tcPr>
            <w:tcW w:w="1559"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04CF93E3" w14:textId="77777777" w:rsidR="00697E07" w:rsidRPr="00697E07" w:rsidRDefault="00697E07" w:rsidP="00697E07">
            <w:pPr>
              <w:spacing w:after="0" w:line="240" w:lineRule="auto"/>
              <w:jc w:val="center"/>
              <w:rPr>
                <w:rFonts w:ascii="Calibri" w:eastAsia="Times New Roman" w:hAnsi="Calibri" w:cs="Calibri"/>
                <w:b/>
                <w:bCs/>
                <w:color w:val="000000"/>
                <w:lang w:val="en-GB" w:eastAsia="en-GB"/>
              </w:rPr>
            </w:pPr>
            <w:r w:rsidRPr="00697E07">
              <w:rPr>
                <w:rFonts w:ascii="Calibri" w:eastAsia="Times New Roman" w:hAnsi="Calibri" w:cs="Calibri"/>
                <w:b/>
                <w:bCs/>
                <w:color w:val="000000"/>
                <w:lang w:val="en-GB" w:eastAsia="en-GB"/>
              </w:rPr>
              <w:t>Chiffres</w:t>
            </w:r>
          </w:p>
        </w:tc>
        <w:tc>
          <w:tcPr>
            <w:tcW w:w="2552" w:type="dxa"/>
            <w:tcBorders>
              <w:top w:val="single" w:sz="4" w:space="0" w:color="auto"/>
              <w:left w:val="nil"/>
              <w:bottom w:val="single" w:sz="4" w:space="0" w:color="auto"/>
              <w:right w:val="single" w:sz="4" w:space="0" w:color="auto"/>
            </w:tcBorders>
            <w:shd w:val="clear" w:color="000000" w:fill="D6DCE4"/>
            <w:noWrap/>
            <w:vAlign w:val="bottom"/>
            <w:hideMark/>
          </w:tcPr>
          <w:p w14:paraId="2A6918DF" w14:textId="5C00B872" w:rsidR="00697E07" w:rsidRPr="00697E07" w:rsidRDefault="00697E07" w:rsidP="00697E07">
            <w:pPr>
              <w:spacing w:after="0" w:line="240" w:lineRule="auto"/>
              <w:jc w:val="center"/>
              <w:rPr>
                <w:rFonts w:ascii="Calibri" w:eastAsia="Times New Roman" w:hAnsi="Calibri" w:cs="Calibri"/>
                <w:b/>
                <w:bCs/>
                <w:color w:val="000000"/>
                <w:lang w:val="en-GB" w:eastAsia="en-GB"/>
              </w:rPr>
            </w:pPr>
            <w:r w:rsidRPr="00697E07">
              <w:rPr>
                <w:rFonts w:ascii="Calibri" w:eastAsia="Times New Roman" w:hAnsi="Calibri" w:cs="Calibri"/>
                <w:b/>
                <w:bCs/>
                <w:color w:val="000000"/>
                <w:lang w:val="en-GB" w:eastAsia="en-GB"/>
              </w:rPr>
              <w:t>Croissance 20</w:t>
            </w:r>
            <w:r w:rsidR="005B4528">
              <w:rPr>
                <w:rFonts w:ascii="Calibri" w:eastAsia="Times New Roman" w:hAnsi="Calibri" w:cs="Calibri"/>
                <w:b/>
                <w:bCs/>
                <w:color w:val="000000"/>
                <w:lang w:val="en-GB" w:eastAsia="en-GB"/>
              </w:rPr>
              <w:t>20</w:t>
            </w:r>
            <w:r w:rsidRPr="00697E07">
              <w:rPr>
                <w:rFonts w:ascii="Calibri" w:eastAsia="Times New Roman" w:hAnsi="Calibri" w:cs="Calibri"/>
                <w:b/>
                <w:bCs/>
                <w:color w:val="000000"/>
                <w:lang w:val="en-GB" w:eastAsia="en-GB"/>
              </w:rPr>
              <w:t>-202</w:t>
            </w:r>
            <w:r w:rsidR="005B4528">
              <w:rPr>
                <w:rFonts w:ascii="Calibri" w:eastAsia="Times New Roman" w:hAnsi="Calibri" w:cs="Calibri"/>
                <w:b/>
                <w:bCs/>
                <w:color w:val="000000"/>
                <w:lang w:val="en-GB" w:eastAsia="en-GB"/>
              </w:rPr>
              <w:t>1</w:t>
            </w:r>
            <w:r w:rsidRPr="00697E07">
              <w:rPr>
                <w:rFonts w:ascii="Calibri" w:eastAsia="Times New Roman" w:hAnsi="Calibri" w:cs="Calibri"/>
                <w:b/>
                <w:bCs/>
                <w:color w:val="000000"/>
                <w:lang w:val="en-GB" w:eastAsia="en-GB"/>
              </w:rPr>
              <w:t xml:space="preserve"> (en%)</w:t>
            </w:r>
          </w:p>
        </w:tc>
      </w:tr>
      <w:tr w:rsidR="00CB7D1E" w:rsidRPr="00697E07" w14:paraId="66DF1145" w14:textId="77777777" w:rsidTr="00AB595A">
        <w:trPr>
          <w:trHeight w:val="263"/>
        </w:trPr>
        <w:tc>
          <w:tcPr>
            <w:tcW w:w="2268" w:type="dxa"/>
            <w:tcBorders>
              <w:top w:val="single" w:sz="4" w:space="0" w:color="auto"/>
              <w:left w:val="single" w:sz="4" w:space="0" w:color="auto"/>
              <w:bottom w:val="nil"/>
              <w:right w:val="single" w:sz="4" w:space="0" w:color="auto"/>
            </w:tcBorders>
            <w:shd w:val="clear" w:color="000000" w:fill="D6DCE4"/>
            <w:noWrap/>
            <w:vAlign w:val="bottom"/>
            <w:hideMark/>
          </w:tcPr>
          <w:p w14:paraId="24BD43F4" w14:textId="7298D798" w:rsidR="00CB7D1E" w:rsidRPr="00697E07" w:rsidRDefault="00CB7D1E" w:rsidP="00CB7D1E">
            <w:pPr>
              <w:spacing w:after="0" w:line="240" w:lineRule="auto"/>
              <w:rPr>
                <w:rFonts w:ascii="Calibri" w:eastAsia="Times New Roman" w:hAnsi="Calibri" w:cs="Calibri"/>
                <w:b/>
                <w:bCs/>
                <w:color w:val="000000"/>
                <w:lang w:val="en-GB" w:eastAsia="en-GB"/>
              </w:rPr>
            </w:pPr>
            <w:r w:rsidRPr="00697E07">
              <w:rPr>
                <w:rFonts w:ascii="Calibri" w:eastAsia="Times New Roman" w:hAnsi="Calibri" w:cs="Calibri"/>
                <w:b/>
                <w:bCs/>
                <w:color w:val="000000"/>
                <w:lang w:val="en-GB" w:eastAsia="en-GB"/>
              </w:rPr>
              <w:t xml:space="preserve">Dépenses de </w:t>
            </w:r>
            <w:r>
              <w:rPr>
                <w:rFonts w:ascii="Calibri" w:eastAsia="Times New Roman" w:hAnsi="Calibri" w:cs="Calibri"/>
                <w:b/>
                <w:bCs/>
                <w:color w:val="000000"/>
                <w:lang w:val="en-GB" w:eastAsia="en-GB"/>
              </w:rPr>
              <w:t>R-D</w:t>
            </w:r>
          </w:p>
        </w:tc>
        <w:tc>
          <w:tcPr>
            <w:tcW w:w="2410" w:type="dxa"/>
            <w:tcBorders>
              <w:top w:val="nil"/>
              <w:left w:val="nil"/>
              <w:bottom w:val="nil"/>
              <w:right w:val="single" w:sz="4" w:space="0" w:color="auto"/>
            </w:tcBorders>
            <w:shd w:val="clear" w:color="auto" w:fill="auto"/>
            <w:noWrap/>
            <w:vAlign w:val="bottom"/>
            <w:hideMark/>
          </w:tcPr>
          <w:p w14:paraId="0BE4BDE3" w14:textId="77777777" w:rsidR="00CB7D1E" w:rsidRPr="00697E07" w:rsidRDefault="00CB7D1E" w:rsidP="00CB7D1E">
            <w:pPr>
              <w:spacing w:after="0" w:line="240" w:lineRule="auto"/>
              <w:rPr>
                <w:rFonts w:ascii="Calibri" w:eastAsia="Times New Roman" w:hAnsi="Calibri" w:cs="Calibri"/>
                <w:color w:val="000000"/>
                <w:lang w:val="en-GB" w:eastAsia="en-GB"/>
              </w:rPr>
            </w:pPr>
            <w:r w:rsidRPr="00697E07">
              <w:rPr>
                <w:rFonts w:ascii="Calibri" w:eastAsia="Times New Roman" w:hAnsi="Calibri" w:cs="Calibri"/>
                <w:color w:val="000000"/>
                <w:lang w:val="en-GB" w:eastAsia="en-GB"/>
              </w:rPr>
              <w:t>(en millions d'euros)</w:t>
            </w:r>
          </w:p>
        </w:tc>
        <w:tc>
          <w:tcPr>
            <w:tcW w:w="1559" w:type="dxa"/>
            <w:tcBorders>
              <w:top w:val="nil"/>
              <w:left w:val="nil"/>
              <w:bottom w:val="nil"/>
              <w:right w:val="single" w:sz="4" w:space="0" w:color="auto"/>
            </w:tcBorders>
            <w:shd w:val="clear" w:color="auto" w:fill="auto"/>
            <w:noWrap/>
            <w:vAlign w:val="bottom"/>
            <w:hideMark/>
          </w:tcPr>
          <w:p w14:paraId="61556390" w14:textId="43B985D5" w:rsidR="00CB7D1E" w:rsidRPr="00697E07" w:rsidRDefault="00CB7D1E" w:rsidP="00CB7D1E">
            <w:pPr>
              <w:spacing w:after="0" w:line="240" w:lineRule="auto"/>
              <w:jc w:val="right"/>
              <w:rPr>
                <w:rFonts w:ascii="Calibri" w:eastAsia="Times New Roman" w:hAnsi="Calibri" w:cs="Calibri"/>
                <w:color w:val="000000"/>
                <w:lang w:val="en-GB" w:eastAsia="en-GB"/>
              </w:rPr>
            </w:pPr>
            <w:r w:rsidRPr="002E7A15">
              <w:rPr>
                <w:rFonts w:ascii="Calibri" w:eastAsia="Times New Roman" w:hAnsi="Calibri" w:cs="Calibri"/>
                <w:color w:val="000000"/>
                <w:lang w:val="en-GB" w:eastAsia="en-GB"/>
              </w:rPr>
              <w:t>16 151,868</w:t>
            </w:r>
          </w:p>
        </w:tc>
        <w:tc>
          <w:tcPr>
            <w:tcW w:w="2552" w:type="dxa"/>
            <w:tcBorders>
              <w:top w:val="nil"/>
              <w:left w:val="nil"/>
              <w:bottom w:val="nil"/>
              <w:right w:val="single" w:sz="4" w:space="0" w:color="auto"/>
            </w:tcBorders>
            <w:shd w:val="clear" w:color="auto" w:fill="auto"/>
            <w:noWrap/>
            <w:vAlign w:val="bottom"/>
            <w:hideMark/>
          </w:tcPr>
          <w:p w14:paraId="23D96AB3" w14:textId="3F501FCF" w:rsidR="00CB7D1E" w:rsidRPr="00697E07" w:rsidRDefault="00CB7D1E" w:rsidP="00CB7D1E">
            <w:pPr>
              <w:spacing w:after="0" w:line="240" w:lineRule="auto"/>
              <w:jc w:val="right"/>
              <w:rPr>
                <w:rFonts w:ascii="Calibri" w:eastAsia="Times New Roman" w:hAnsi="Calibri" w:cs="Calibri"/>
                <w:color w:val="000000"/>
                <w:lang w:val="en-GB" w:eastAsia="en-GB"/>
              </w:rPr>
            </w:pPr>
            <w:r w:rsidRPr="002E7A15">
              <w:rPr>
                <w:rFonts w:ascii="Calibri" w:eastAsia="Times New Roman" w:hAnsi="Calibri" w:cs="Calibri"/>
                <w:color w:val="000000"/>
                <w:lang w:val="en-GB" w:eastAsia="en-GB"/>
              </w:rPr>
              <w:t>1,67%</w:t>
            </w:r>
          </w:p>
        </w:tc>
      </w:tr>
      <w:tr w:rsidR="00CB7D1E" w:rsidRPr="00697E07" w14:paraId="0380247D" w14:textId="77777777" w:rsidTr="00AB595A">
        <w:trPr>
          <w:trHeight w:val="263"/>
        </w:trPr>
        <w:tc>
          <w:tcPr>
            <w:tcW w:w="2268" w:type="dxa"/>
            <w:tcBorders>
              <w:top w:val="nil"/>
              <w:left w:val="single" w:sz="4" w:space="0" w:color="auto"/>
              <w:bottom w:val="nil"/>
              <w:right w:val="single" w:sz="4" w:space="0" w:color="auto"/>
            </w:tcBorders>
            <w:shd w:val="clear" w:color="000000" w:fill="D6DCE4"/>
            <w:noWrap/>
            <w:vAlign w:val="bottom"/>
            <w:hideMark/>
          </w:tcPr>
          <w:p w14:paraId="16A65F68" w14:textId="77777777" w:rsidR="00CB7D1E" w:rsidRPr="00697E07" w:rsidRDefault="00CB7D1E" w:rsidP="00CB7D1E">
            <w:pPr>
              <w:spacing w:after="0" w:line="240" w:lineRule="auto"/>
              <w:rPr>
                <w:rFonts w:ascii="Calibri" w:eastAsia="Times New Roman" w:hAnsi="Calibri" w:cs="Calibri"/>
                <w:b/>
                <w:bCs/>
                <w:color w:val="000000"/>
                <w:lang w:val="en-GB" w:eastAsia="en-GB"/>
              </w:rPr>
            </w:pPr>
            <w:r w:rsidRPr="00697E07">
              <w:rPr>
                <w:rFonts w:ascii="Calibri" w:eastAsia="Times New Roman" w:hAnsi="Calibri" w:cs="Calibri"/>
                <w:b/>
                <w:bCs/>
                <w:color w:val="000000"/>
                <w:lang w:val="en-GB" w:eastAsia="en-GB"/>
              </w:rPr>
              <w:t>Produit intérieur brut</w:t>
            </w:r>
          </w:p>
        </w:tc>
        <w:tc>
          <w:tcPr>
            <w:tcW w:w="2410" w:type="dxa"/>
            <w:tcBorders>
              <w:top w:val="nil"/>
              <w:left w:val="nil"/>
              <w:bottom w:val="nil"/>
              <w:right w:val="single" w:sz="4" w:space="0" w:color="auto"/>
            </w:tcBorders>
            <w:shd w:val="clear" w:color="auto" w:fill="auto"/>
            <w:noWrap/>
            <w:vAlign w:val="bottom"/>
            <w:hideMark/>
          </w:tcPr>
          <w:p w14:paraId="07A6DC5F" w14:textId="77777777" w:rsidR="00CB7D1E" w:rsidRPr="00697E07" w:rsidRDefault="00CB7D1E" w:rsidP="00CB7D1E">
            <w:pPr>
              <w:spacing w:after="0" w:line="240" w:lineRule="auto"/>
              <w:rPr>
                <w:rFonts w:ascii="Calibri" w:eastAsia="Times New Roman" w:hAnsi="Calibri" w:cs="Calibri"/>
                <w:color w:val="000000"/>
                <w:lang w:val="en-GB" w:eastAsia="en-GB"/>
              </w:rPr>
            </w:pPr>
            <w:r w:rsidRPr="00697E07">
              <w:rPr>
                <w:rFonts w:ascii="Calibri" w:eastAsia="Times New Roman" w:hAnsi="Calibri" w:cs="Calibri"/>
                <w:color w:val="000000"/>
                <w:lang w:val="en-GB" w:eastAsia="en-GB"/>
              </w:rPr>
              <w:t>(en millions d'euros)</w:t>
            </w:r>
          </w:p>
        </w:tc>
        <w:tc>
          <w:tcPr>
            <w:tcW w:w="1559" w:type="dxa"/>
            <w:tcBorders>
              <w:top w:val="nil"/>
              <w:left w:val="nil"/>
              <w:bottom w:val="nil"/>
              <w:right w:val="single" w:sz="4" w:space="0" w:color="auto"/>
            </w:tcBorders>
            <w:shd w:val="clear" w:color="auto" w:fill="auto"/>
            <w:noWrap/>
            <w:vAlign w:val="bottom"/>
            <w:hideMark/>
          </w:tcPr>
          <w:p w14:paraId="2760D5D8" w14:textId="7FE12375" w:rsidR="00CB7D1E" w:rsidRPr="00697E07" w:rsidRDefault="00CB7D1E" w:rsidP="00CB7D1E">
            <w:pPr>
              <w:spacing w:after="0" w:line="240" w:lineRule="auto"/>
              <w:jc w:val="right"/>
              <w:rPr>
                <w:rFonts w:ascii="Calibri" w:eastAsia="Times New Roman" w:hAnsi="Calibri" w:cs="Calibri"/>
                <w:color w:val="000000"/>
                <w:lang w:val="en-GB" w:eastAsia="en-GB"/>
              </w:rPr>
            </w:pPr>
            <w:r w:rsidRPr="002E7A15">
              <w:rPr>
                <w:rFonts w:ascii="Calibri" w:eastAsia="Times New Roman" w:hAnsi="Calibri" w:cs="Calibri"/>
                <w:color w:val="000000"/>
                <w:lang w:val="en-GB" w:eastAsia="en-GB"/>
              </w:rPr>
              <w:t>502 311,600</w:t>
            </w:r>
          </w:p>
        </w:tc>
        <w:tc>
          <w:tcPr>
            <w:tcW w:w="2552" w:type="dxa"/>
            <w:tcBorders>
              <w:top w:val="nil"/>
              <w:left w:val="nil"/>
              <w:bottom w:val="single" w:sz="4" w:space="0" w:color="auto"/>
              <w:right w:val="single" w:sz="4" w:space="0" w:color="auto"/>
            </w:tcBorders>
            <w:shd w:val="clear" w:color="auto" w:fill="auto"/>
            <w:noWrap/>
            <w:vAlign w:val="bottom"/>
            <w:hideMark/>
          </w:tcPr>
          <w:p w14:paraId="48F89530" w14:textId="7B1A48D8" w:rsidR="00CB7D1E" w:rsidRPr="00697E07" w:rsidRDefault="00CB7D1E" w:rsidP="00CB7D1E">
            <w:pPr>
              <w:spacing w:after="0" w:line="240" w:lineRule="auto"/>
              <w:jc w:val="right"/>
              <w:rPr>
                <w:rFonts w:ascii="Calibri" w:eastAsia="Times New Roman" w:hAnsi="Calibri" w:cs="Calibri"/>
                <w:color w:val="000000"/>
                <w:lang w:val="en-GB" w:eastAsia="en-GB"/>
              </w:rPr>
            </w:pPr>
            <w:r w:rsidRPr="002E7A15">
              <w:rPr>
                <w:rFonts w:ascii="Calibri" w:eastAsia="Times New Roman" w:hAnsi="Calibri" w:cs="Calibri"/>
                <w:color w:val="000000"/>
                <w:lang w:val="en-GB" w:eastAsia="en-GB"/>
              </w:rPr>
              <w:t>9,24%</w:t>
            </w:r>
          </w:p>
        </w:tc>
      </w:tr>
      <w:tr w:rsidR="00CB7D1E" w:rsidRPr="00697E07" w14:paraId="713FE876" w14:textId="77777777" w:rsidTr="00AB595A">
        <w:trPr>
          <w:trHeight w:val="263"/>
        </w:trPr>
        <w:tc>
          <w:tcPr>
            <w:tcW w:w="2268"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66047EEA" w14:textId="7D87FBD4" w:rsidR="00CB7D1E" w:rsidRPr="00697E07" w:rsidRDefault="00CB7D1E" w:rsidP="00CB7D1E">
            <w:pPr>
              <w:spacing w:after="0" w:line="240" w:lineRule="auto"/>
              <w:rPr>
                <w:rFonts w:ascii="Calibri" w:eastAsia="Times New Roman" w:hAnsi="Calibri" w:cs="Calibri"/>
                <w:b/>
                <w:bCs/>
                <w:color w:val="000000"/>
                <w:lang w:val="en-GB" w:eastAsia="en-GB"/>
              </w:rPr>
            </w:pPr>
            <w:r w:rsidRPr="00697E07">
              <w:rPr>
                <w:rFonts w:ascii="Calibri" w:eastAsia="Times New Roman" w:hAnsi="Calibri" w:cs="Calibri"/>
                <w:b/>
                <w:bCs/>
                <w:color w:val="000000"/>
                <w:lang w:val="en-GB" w:eastAsia="en-GB"/>
              </w:rPr>
              <w:t xml:space="preserve">Intensité de </w:t>
            </w:r>
            <w:r>
              <w:rPr>
                <w:rFonts w:ascii="Calibri" w:eastAsia="Times New Roman" w:hAnsi="Calibri" w:cs="Calibri"/>
                <w:b/>
                <w:bCs/>
                <w:color w:val="000000"/>
                <w:lang w:val="en-GB" w:eastAsia="en-GB"/>
              </w:rPr>
              <w:t>R-D</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5585B6FD" w14:textId="77777777" w:rsidR="00CB7D1E" w:rsidRPr="00697E07" w:rsidRDefault="00CB7D1E" w:rsidP="00CB7D1E">
            <w:pPr>
              <w:spacing w:after="0" w:line="240" w:lineRule="auto"/>
              <w:rPr>
                <w:rFonts w:ascii="Calibri" w:eastAsia="Times New Roman" w:hAnsi="Calibri" w:cs="Calibri"/>
                <w:color w:val="000000"/>
                <w:lang w:val="en-GB" w:eastAsia="en-GB"/>
              </w:rPr>
            </w:pPr>
            <w:r w:rsidRPr="00697E07">
              <w:rPr>
                <w:rFonts w:ascii="Calibri" w:eastAsia="Times New Roman" w:hAnsi="Calibri" w:cs="Calibri"/>
                <w:color w:val="000000"/>
                <w:lang w:val="en-GB" w:eastAsia="en-GB"/>
              </w:rPr>
              <w:t>(en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C9FBE7" w14:textId="3A6984B9" w:rsidR="00CB7D1E" w:rsidRPr="00697E07" w:rsidRDefault="00CB7D1E" w:rsidP="00CB7D1E">
            <w:pPr>
              <w:spacing w:after="0" w:line="240" w:lineRule="auto"/>
              <w:jc w:val="right"/>
              <w:rPr>
                <w:rFonts w:ascii="Calibri" w:eastAsia="Times New Roman" w:hAnsi="Calibri" w:cs="Calibri"/>
                <w:color w:val="000000"/>
                <w:lang w:val="en-GB" w:eastAsia="en-GB"/>
              </w:rPr>
            </w:pPr>
            <w:r w:rsidRPr="002E7A15">
              <w:rPr>
                <w:rFonts w:ascii="Calibri" w:eastAsia="Times New Roman" w:hAnsi="Calibri" w:cs="Calibri"/>
                <w:color w:val="000000"/>
                <w:lang w:val="en-GB" w:eastAsia="en-GB"/>
              </w:rPr>
              <w:t>3,22%</w:t>
            </w:r>
          </w:p>
        </w:tc>
        <w:tc>
          <w:tcPr>
            <w:tcW w:w="2552" w:type="dxa"/>
            <w:tcBorders>
              <w:top w:val="nil"/>
              <w:left w:val="nil"/>
              <w:bottom w:val="single" w:sz="4" w:space="0" w:color="auto"/>
              <w:right w:val="single" w:sz="4" w:space="0" w:color="auto"/>
            </w:tcBorders>
            <w:shd w:val="clear" w:color="auto" w:fill="auto"/>
            <w:noWrap/>
            <w:vAlign w:val="bottom"/>
            <w:hideMark/>
          </w:tcPr>
          <w:p w14:paraId="30D1874A" w14:textId="7D158997" w:rsidR="00CB7D1E" w:rsidRPr="00697E07" w:rsidRDefault="00CB7D1E" w:rsidP="00CB7D1E">
            <w:pPr>
              <w:spacing w:after="0" w:line="240" w:lineRule="auto"/>
              <w:jc w:val="right"/>
              <w:rPr>
                <w:rFonts w:ascii="Calibri" w:eastAsia="Times New Roman" w:hAnsi="Calibri" w:cs="Calibri"/>
                <w:color w:val="000000"/>
                <w:lang w:val="en-GB" w:eastAsia="en-GB"/>
              </w:rPr>
            </w:pPr>
            <w:r w:rsidRPr="002E7A15">
              <w:rPr>
                <w:rFonts w:ascii="Calibri" w:eastAsia="Times New Roman" w:hAnsi="Calibri" w:cs="Calibri"/>
                <w:color w:val="000000"/>
                <w:lang w:val="en-GB" w:eastAsia="en-GB"/>
              </w:rPr>
              <w:t>-6,93%</w:t>
            </w:r>
          </w:p>
        </w:tc>
      </w:tr>
    </w:tbl>
    <w:p w14:paraId="12FB75B1" w14:textId="0D51782C" w:rsidR="000E7280" w:rsidRDefault="000E7280">
      <w:pPr>
        <w:rPr>
          <w:b/>
          <w:bCs/>
          <w:lang w:val="fr-BE"/>
        </w:rPr>
      </w:pPr>
    </w:p>
    <w:p w14:paraId="097BED81" w14:textId="72532635" w:rsidR="00AB595A" w:rsidRDefault="00AB595A">
      <w:pPr>
        <w:rPr>
          <w:b/>
          <w:bCs/>
          <w:lang w:val="fr-BE"/>
        </w:rPr>
      </w:pPr>
    </w:p>
    <w:p w14:paraId="7AEDAFDE" w14:textId="77777777" w:rsidR="00AB595A" w:rsidRPr="00E9124E" w:rsidRDefault="00AB595A">
      <w:pPr>
        <w:rPr>
          <w:b/>
          <w:bCs/>
          <w:lang w:val="fr-BE"/>
        </w:rPr>
      </w:pPr>
    </w:p>
    <w:p w14:paraId="68F1176C" w14:textId="77777777" w:rsidR="00AB595A" w:rsidRDefault="00AB595A">
      <w:pPr>
        <w:rPr>
          <w:b/>
          <w:bCs/>
          <w:lang w:val="fr-BE"/>
        </w:rPr>
      </w:pPr>
    </w:p>
    <w:p w14:paraId="27DB41D3" w14:textId="77777777" w:rsidR="00AB595A" w:rsidRDefault="00AB595A">
      <w:pPr>
        <w:rPr>
          <w:b/>
          <w:bCs/>
          <w:lang w:val="fr-BE"/>
        </w:rPr>
      </w:pPr>
    </w:p>
    <w:p w14:paraId="11CFF08E" w14:textId="77777777" w:rsidR="00C17E9B" w:rsidRDefault="00C17E9B">
      <w:pPr>
        <w:rPr>
          <w:b/>
          <w:bCs/>
          <w:lang w:val="fr-BE"/>
        </w:rPr>
      </w:pPr>
    </w:p>
    <w:p w14:paraId="1EACBA90" w14:textId="311876F7" w:rsidR="00AB3509" w:rsidRPr="00E9124E" w:rsidRDefault="00D816CF">
      <w:pPr>
        <w:rPr>
          <w:b/>
          <w:bCs/>
          <w:lang w:val="fr-BE"/>
        </w:rPr>
      </w:pPr>
      <w:r w:rsidRPr="00FC3CFA">
        <w:rPr>
          <w:b/>
          <w:bCs/>
          <w:lang w:val="fr-BE"/>
        </w:rPr>
        <w:t>Tabl</w:t>
      </w:r>
      <w:r w:rsidR="000A7D37" w:rsidRPr="00FC3CFA">
        <w:rPr>
          <w:b/>
          <w:bCs/>
          <w:lang w:val="fr-BE"/>
        </w:rPr>
        <w:t>e</w:t>
      </w:r>
      <w:r w:rsidRPr="00FC3CFA">
        <w:rPr>
          <w:b/>
          <w:bCs/>
          <w:lang w:val="fr-BE"/>
        </w:rPr>
        <w:t xml:space="preserve"> 2.2. </w:t>
      </w:r>
      <w:r w:rsidR="000A7D37" w:rsidRPr="00FC3CFA">
        <w:rPr>
          <w:b/>
          <w:bCs/>
          <w:lang w:val="fr-BE"/>
        </w:rPr>
        <w:t>I</w:t>
      </w:r>
      <w:r w:rsidRPr="00FC3CFA">
        <w:rPr>
          <w:b/>
          <w:bCs/>
          <w:lang w:val="fr-BE"/>
        </w:rPr>
        <w:t>ntensit</w:t>
      </w:r>
      <w:r w:rsidR="000A7D37" w:rsidRPr="00FC3CFA">
        <w:rPr>
          <w:b/>
          <w:bCs/>
          <w:lang w:val="fr-BE"/>
        </w:rPr>
        <w:t xml:space="preserve">é de </w:t>
      </w:r>
      <w:r w:rsidR="00444784">
        <w:rPr>
          <w:b/>
          <w:bCs/>
          <w:lang w:val="fr-BE"/>
        </w:rPr>
        <w:t>R-D</w:t>
      </w:r>
      <w:r w:rsidRPr="00FC3CFA">
        <w:rPr>
          <w:b/>
          <w:bCs/>
          <w:lang w:val="fr-BE"/>
        </w:rPr>
        <w:t xml:space="preserve"> p</w:t>
      </w:r>
      <w:r w:rsidR="000A7D37" w:rsidRPr="00FC3CFA">
        <w:rPr>
          <w:b/>
          <w:bCs/>
          <w:lang w:val="fr-BE"/>
        </w:rPr>
        <w:t>a</w:t>
      </w:r>
      <w:r w:rsidRPr="00FC3CFA">
        <w:rPr>
          <w:b/>
          <w:bCs/>
          <w:lang w:val="fr-BE"/>
        </w:rPr>
        <w:t>r r</w:t>
      </w:r>
      <w:r w:rsidR="000A7D37" w:rsidRPr="00FC3CFA">
        <w:rPr>
          <w:b/>
          <w:bCs/>
          <w:lang w:val="fr-BE"/>
        </w:rPr>
        <w:t>é</w:t>
      </w:r>
      <w:r w:rsidRPr="00FC3CFA">
        <w:rPr>
          <w:b/>
          <w:bCs/>
          <w:lang w:val="fr-BE"/>
        </w:rPr>
        <w:t>gio</w:t>
      </w:r>
      <w:r w:rsidR="000A7D37" w:rsidRPr="00FC3CFA">
        <w:rPr>
          <w:b/>
          <w:bCs/>
          <w:lang w:val="fr-BE"/>
        </w:rPr>
        <w:t>n</w:t>
      </w:r>
      <w:r w:rsidRPr="00FC3CFA">
        <w:rPr>
          <w:b/>
          <w:bCs/>
          <w:lang w:val="fr-BE"/>
        </w:rPr>
        <w:t xml:space="preserve"> </w:t>
      </w:r>
      <w:r w:rsidR="000A7D37" w:rsidRPr="00FC3CFA">
        <w:rPr>
          <w:b/>
          <w:bCs/>
          <w:lang w:val="fr-BE"/>
        </w:rPr>
        <w:t>e</w:t>
      </w:r>
      <w:r w:rsidRPr="00FC3CFA">
        <w:rPr>
          <w:b/>
          <w:bCs/>
          <w:lang w:val="fr-BE"/>
        </w:rPr>
        <w:t>n 202</w:t>
      </w:r>
      <w:r w:rsidR="005B4528">
        <w:rPr>
          <w:b/>
          <w:bCs/>
          <w:lang w:val="fr-BE"/>
        </w:rPr>
        <w:t>1</w:t>
      </w:r>
      <w:r w:rsidR="002A28BA" w:rsidRPr="00FC3CFA">
        <w:rPr>
          <w:b/>
          <w:bCs/>
          <w:lang w:val="fr-BE"/>
        </w:rPr>
        <w:t xml:space="preserve"> </w:t>
      </w:r>
      <w:r w:rsidR="005D3FE5" w:rsidRPr="00FC3CFA">
        <w:rPr>
          <w:b/>
          <w:bCs/>
          <w:lang w:val="fr-BE"/>
        </w:rPr>
        <w:t xml:space="preserve">sur base de chiffres préliminaires concernant les dépenses de </w:t>
      </w:r>
      <w:r w:rsidR="00444784">
        <w:rPr>
          <w:b/>
          <w:bCs/>
          <w:lang w:val="fr-BE"/>
        </w:rPr>
        <w:t>R-D</w:t>
      </w:r>
      <w:r w:rsidR="005D3FE5" w:rsidRPr="00FC3CFA">
        <w:rPr>
          <w:b/>
          <w:bCs/>
          <w:lang w:val="fr-BE"/>
        </w:rPr>
        <w:t xml:space="preserve"> en Belgique</w:t>
      </w:r>
    </w:p>
    <w:p w14:paraId="667AAB56" w14:textId="035256F2" w:rsidR="00A55831" w:rsidRPr="00E9124E" w:rsidRDefault="00AB595A">
      <w:pPr>
        <w:rPr>
          <w:lang w:val="fr-BE"/>
        </w:rPr>
      </w:pPr>
      <w:r w:rsidRPr="00AB595A">
        <w:rPr>
          <w:lang w:val="fr-BE"/>
        </w:rPr>
        <w:t xml:space="preserve">Les chiffres </w:t>
      </w:r>
      <w:r w:rsidR="00205119">
        <w:rPr>
          <w:lang w:val="fr-BE"/>
        </w:rPr>
        <w:t>des</w:t>
      </w:r>
      <w:r w:rsidR="00205119" w:rsidRPr="00AB595A">
        <w:rPr>
          <w:lang w:val="fr-BE"/>
        </w:rPr>
        <w:t xml:space="preserve"> </w:t>
      </w:r>
      <w:r w:rsidRPr="00AB595A">
        <w:rPr>
          <w:lang w:val="fr-BE"/>
        </w:rPr>
        <w:t>PIB régiona</w:t>
      </w:r>
      <w:r w:rsidR="00205119">
        <w:rPr>
          <w:lang w:val="fr-BE"/>
        </w:rPr>
        <w:t>ux</w:t>
      </w:r>
      <w:r w:rsidRPr="00AB595A">
        <w:rPr>
          <w:lang w:val="fr-BE"/>
        </w:rPr>
        <w:t xml:space="preserve"> ne sont pas encore disponibles auprès de la Banque nationale. Par conséquent, il n'a pas été possible de ventiler davantage le tableau ci-dessus en fonction des trois régions.</w:t>
      </w:r>
    </w:p>
    <w:p w14:paraId="3C14A3BE" w14:textId="4EE13871" w:rsidR="00A453CA" w:rsidRDefault="00A453CA" w:rsidP="004C137A">
      <w:pPr>
        <w:jc w:val="both"/>
        <w:rPr>
          <w:lang w:val="fr-BE"/>
        </w:rPr>
      </w:pPr>
      <w:r w:rsidRPr="00FC3CFA">
        <w:rPr>
          <w:lang w:val="fr-BE"/>
        </w:rPr>
        <w:t xml:space="preserve">Enfin, nous tenons à rappeler que cette note ne traite que des chiffres provisoires de </w:t>
      </w:r>
      <w:r w:rsidR="00444784">
        <w:rPr>
          <w:lang w:val="fr-BE"/>
        </w:rPr>
        <w:t>R-D</w:t>
      </w:r>
      <w:r w:rsidRPr="00FC3CFA">
        <w:rPr>
          <w:lang w:val="fr-BE"/>
        </w:rPr>
        <w:t xml:space="preserve">, qui sont basés sur des estimations qui ne tiennent pas compte d'un éventuel choc que </w:t>
      </w:r>
      <w:r w:rsidR="00297920">
        <w:rPr>
          <w:lang w:val="fr-BE"/>
        </w:rPr>
        <w:t xml:space="preserve">la </w:t>
      </w:r>
      <w:r w:rsidRPr="00FC3CFA">
        <w:rPr>
          <w:lang w:val="fr-BE"/>
        </w:rPr>
        <w:t xml:space="preserve">COVID-19 aurait pu provoquer dans les activités de </w:t>
      </w:r>
      <w:r w:rsidR="00444784">
        <w:rPr>
          <w:lang w:val="fr-BE"/>
        </w:rPr>
        <w:t>R-D</w:t>
      </w:r>
      <w:r w:rsidRPr="00FC3CFA">
        <w:rPr>
          <w:lang w:val="fr-BE"/>
        </w:rPr>
        <w:t xml:space="preserve">.  Les chiffres définitifs de  </w:t>
      </w:r>
      <w:r w:rsidR="00444784">
        <w:rPr>
          <w:lang w:val="fr-BE"/>
        </w:rPr>
        <w:t>R-D</w:t>
      </w:r>
      <w:r w:rsidRPr="00FC3CFA">
        <w:rPr>
          <w:lang w:val="fr-BE"/>
        </w:rPr>
        <w:t xml:space="preserve"> pour 202</w:t>
      </w:r>
      <w:r w:rsidR="00407873">
        <w:rPr>
          <w:lang w:val="fr-BE"/>
        </w:rPr>
        <w:t>1</w:t>
      </w:r>
      <w:r w:rsidRPr="00FC3CFA">
        <w:rPr>
          <w:lang w:val="fr-BE"/>
        </w:rPr>
        <w:t xml:space="preserve">, </w:t>
      </w:r>
      <w:r w:rsidR="00297920">
        <w:rPr>
          <w:lang w:val="fr-BE"/>
        </w:rPr>
        <w:t>issus</w:t>
      </w:r>
      <w:r w:rsidR="00297920" w:rsidRPr="00FC3CFA">
        <w:rPr>
          <w:lang w:val="fr-BE"/>
        </w:rPr>
        <w:t xml:space="preserve"> </w:t>
      </w:r>
      <w:r w:rsidRPr="00FC3CFA">
        <w:rPr>
          <w:lang w:val="fr-BE"/>
        </w:rPr>
        <w:t xml:space="preserve">d'enquêtes auprès </w:t>
      </w:r>
      <w:r w:rsidR="00407873" w:rsidRPr="00407873">
        <w:rPr>
          <w:lang w:val="fr-BE"/>
        </w:rPr>
        <w:t>des acteurs de R&amp;D dans les quatre secteurs</w:t>
      </w:r>
      <w:r w:rsidRPr="00FC3CFA">
        <w:rPr>
          <w:lang w:val="fr-BE"/>
        </w:rPr>
        <w:t>, seront disponibles à partir du 30 juin 202</w:t>
      </w:r>
      <w:r w:rsidR="0060766C">
        <w:rPr>
          <w:lang w:val="fr-BE"/>
        </w:rPr>
        <w:t>3</w:t>
      </w:r>
      <w:r w:rsidR="00407873">
        <w:rPr>
          <w:lang w:val="fr-BE"/>
        </w:rPr>
        <w:t>.</w:t>
      </w:r>
    </w:p>
    <w:sectPr w:rsidR="00A453C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FF6D5" w14:textId="77777777" w:rsidR="007E1D40" w:rsidRDefault="007E1D40" w:rsidP="00AB3509">
      <w:pPr>
        <w:spacing w:after="0" w:line="240" w:lineRule="auto"/>
      </w:pPr>
      <w:r>
        <w:separator/>
      </w:r>
    </w:p>
  </w:endnote>
  <w:endnote w:type="continuationSeparator" w:id="0">
    <w:p w14:paraId="6A79D2FB" w14:textId="77777777" w:rsidR="007E1D40" w:rsidRDefault="007E1D40" w:rsidP="00AB3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782185"/>
      <w:docPartObj>
        <w:docPartGallery w:val="Page Numbers (Bottom of Page)"/>
        <w:docPartUnique/>
      </w:docPartObj>
    </w:sdtPr>
    <w:sdtEndPr>
      <w:rPr>
        <w:noProof/>
      </w:rPr>
    </w:sdtEndPr>
    <w:sdtContent>
      <w:p w14:paraId="553B41C6" w14:textId="7436A1B7" w:rsidR="00AB3509" w:rsidRDefault="00AB35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80053B" w14:textId="77777777" w:rsidR="00AB3509" w:rsidRDefault="00AB3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36048" w14:textId="77777777" w:rsidR="007E1D40" w:rsidRDefault="007E1D40" w:rsidP="00AB3509">
      <w:pPr>
        <w:spacing w:after="0" w:line="240" w:lineRule="auto"/>
      </w:pPr>
      <w:r>
        <w:separator/>
      </w:r>
    </w:p>
  </w:footnote>
  <w:footnote w:type="continuationSeparator" w:id="0">
    <w:p w14:paraId="7E05C2A7" w14:textId="77777777" w:rsidR="007E1D40" w:rsidRDefault="007E1D40" w:rsidP="00AB3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71A5" w14:textId="467F4017" w:rsidR="00E26798" w:rsidRDefault="00E26798">
    <w:pPr>
      <w:pStyle w:val="Header"/>
    </w:pPr>
    <w:r w:rsidRPr="002734AB">
      <w:rPr>
        <w:noProof/>
      </w:rPr>
      <w:drawing>
        <wp:inline distT="0" distB="0" distL="0" distR="0" wp14:anchorId="56054C4A" wp14:editId="244CA081">
          <wp:extent cx="713105" cy="685165"/>
          <wp:effectExtent l="0" t="0" r="0" b="635"/>
          <wp:docPr id="4" name="Picture 3">
            <a:extLst xmlns:a="http://schemas.openxmlformats.org/drawingml/2006/main">
              <a:ext uri="{FF2B5EF4-FFF2-40B4-BE49-F238E27FC236}">
                <a16:creationId xmlns:a16="http://schemas.microsoft.com/office/drawing/2014/main" id="{833B775F-8B4A-4129-B333-4D71D3199445}"/>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33B775F-8B4A-4129-B333-4D71D3199445}"/>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3105" cy="685165"/>
                  </a:xfrm>
                  <a:prstGeom prst="rect">
                    <a:avLst/>
                  </a:prstGeom>
                  <a:noFill/>
                  <a:ln>
                    <a:noFill/>
                  </a:ln>
                </pic:spPr>
              </pic:pic>
            </a:graphicData>
          </a:graphic>
        </wp:inline>
      </w:drawing>
    </w:r>
    <w:r>
      <w:rPr>
        <w:noProof/>
      </w:rPr>
      <w:t xml:space="preserve">                                                                                                                                      </w:t>
    </w:r>
    <w:r>
      <w:rPr>
        <w:noProof/>
      </w:rPr>
      <w:drawing>
        <wp:inline distT="0" distB="0" distL="0" distR="0" wp14:anchorId="0060929C" wp14:editId="13E50832">
          <wp:extent cx="771465" cy="6878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7129" cy="7107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6E2D"/>
    <w:multiLevelType w:val="hybridMultilevel"/>
    <w:tmpl w:val="12A00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0512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38B"/>
    <w:rsid w:val="00011759"/>
    <w:rsid w:val="0002309D"/>
    <w:rsid w:val="00027BC5"/>
    <w:rsid w:val="00053F3E"/>
    <w:rsid w:val="000741AE"/>
    <w:rsid w:val="0007693B"/>
    <w:rsid w:val="00081228"/>
    <w:rsid w:val="000A7D37"/>
    <w:rsid w:val="000C4AEF"/>
    <w:rsid w:val="000D5E31"/>
    <w:rsid w:val="000E156A"/>
    <w:rsid w:val="000E7280"/>
    <w:rsid w:val="00125C09"/>
    <w:rsid w:val="00146AD7"/>
    <w:rsid w:val="00161580"/>
    <w:rsid w:val="00164C25"/>
    <w:rsid w:val="00172635"/>
    <w:rsid w:val="0019773A"/>
    <w:rsid w:val="001A6E17"/>
    <w:rsid w:val="001E0DB9"/>
    <w:rsid w:val="001E485B"/>
    <w:rsid w:val="00205119"/>
    <w:rsid w:val="00217C7C"/>
    <w:rsid w:val="002734EF"/>
    <w:rsid w:val="0027697E"/>
    <w:rsid w:val="00297920"/>
    <w:rsid w:val="002A28BA"/>
    <w:rsid w:val="002F6568"/>
    <w:rsid w:val="00304B63"/>
    <w:rsid w:val="003258A0"/>
    <w:rsid w:val="003A5BE9"/>
    <w:rsid w:val="003D586B"/>
    <w:rsid w:val="003F142E"/>
    <w:rsid w:val="00407873"/>
    <w:rsid w:val="00444784"/>
    <w:rsid w:val="004660F6"/>
    <w:rsid w:val="00484346"/>
    <w:rsid w:val="004C137A"/>
    <w:rsid w:val="0052581F"/>
    <w:rsid w:val="00572F3C"/>
    <w:rsid w:val="005B3A2C"/>
    <w:rsid w:val="005B4414"/>
    <w:rsid w:val="005B4528"/>
    <w:rsid w:val="005B4FCE"/>
    <w:rsid w:val="005D3FE5"/>
    <w:rsid w:val="005F19CF"/>
    <w:rsid w:val="0060766C"/>
    <w:rsid w:val="0061353B"/>
    <w:rsid w:val="00665B55"/>
    <w:rsid w:val="00667617"/>
    <w:rsid w:val="00677053"/>
    <w:rsid w:val="00692BCA"/>
    <w:rsid w:val="00696425"/>
    <w:rsid w:val="00697E07"/>
    <w:rsid w:val="00707DAC"/>
    <w:rsid w:val="0075755B"/>
    <w:rsid w:val="007907D3"/>
    <w:rsid w:val="007A36B4"/>
    <w:rsid w:val="007B6D50"/>
    <w:rsid w:val="007E13D6"/>
    <w:rsid w:val="007E1D40"/>
    <w:rsid w:val="0084151D"/>
    <w:rsid w:val="008469B5"/>
    <w:rsid w:val="00850BC7"/>
    <w:rsid w:val="00852598"/>
    <w:rsid w:val="00864C4E"/>
    <w:rsid w:val="008C46EF"/>
    <w:rsid w:val="008F21C1"/>
    <w:rsid w:val="008F71DB"/>
    <w:rsid w:val="009025B5"/>
    <w:rsid w:val="00905FBA"/>
    <w:rsid w:val="00912F32"/>
    <w:rsid w:val="00922C3A"/>
    <w:rsid w:val="00942AA2"/>
    <w:rsid w:val="00974283"/>
    <w:rsid w:val="00975BA6"/>
    <w:rsid w:val="00980C4A"/>
    <w:rsid w:val="0099494B"/>
    <w:rsid w:val="009B263A"/>
    <w:rsid w:val="009D338B"/>
    <w:rsid w:val="009E5EFD"/>
    <w:rsid w:val="009E6221"/>
    <w:rsid w:val="009F69C5"/>
    <w:rsid w:val="00A00A42"/>
    <w:rsid w:val="00A446B4"/>
    <w:rsid w:val="00A453CA"/>
    <w:rsid w:val="00A47468"/>
    <w:rsid w:val="00A55831"/>
    <w:rsid w:val="00A74469"/>
    <w:rsid w:val="00A966C7"/>
    <w:rsid w:val="00AB3509"/>
    <w:rsid w:val="00AB4EFE"/>
    <w:rsid w:val="00AB595A"/>
    <w:rsid w:val="00AB709F"/>
    <w:rsid w:val="00AC1388"/>
    <w:rsid w:val="00AD4C58"/>
    <w:rsid w:val="00AE14C1"/>
    <w:rsid w:val="00B27C44"/>
    <w:rsid w:val="00B402DE"/>
    <w:rsid w:val="00B56218"/>
    <w:rsid w:val="00B9611C"/>
    <w:rsid w:val="00BB19F2"/>
    <w:rsid w:val="00BB6F13"/>
    <w:rsid w:val="00BD0F9C"/>
    <w:rsid w:val="00BE47A3"/>
    <w:rsid w:val="00C17E9B"/>
    <w:rsid w:val="00C40A6D"/>
    <w:rsid w:val="00C41AC0"/>
    <w:rsid w:val="00C425CB"/>
    <w:rsid w:val="00C62D55"/>
    <w:rsid w:val="00C723C6"/>
    <w:rsid w:val="00C8277F"/>
    <w:rsid w:val="00CB3701"/>
    <w:rsid w:val="00CB7D1E"/>
    <w:rsid w:val="00CE24F5"/>
    <w:rsid w:val="00D816CF"/>
    <w:rsid w:val="00DC03E1"/>
    <w:rsid w:val="00E11326"/>
    <w:rsid w:val="00E261F5"/>
    <w:rsid w:val="00E26798"/>
    <w:rsid w:val="00E40DD0"/>
    <w:rsid w:val="00E45C79"/>
    <w:rsid w:val="00E61A1E"/>
    <w:rsid w:val="00E8153D"/>
    <w:rsid w:val="00E9124E"/>
    <w:rsid w:val="00F62D2C"/>
    <w:rsid w:val="00F75A9B"/>
    <w:rsid w:val="00F93CF6"/>
    <w:rsid w:val="00FA15C1"/>
    <w:rsid w:val="00FC3CFA"/>
    <w:rsid w:val="00FD3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31189"/>
  <w15:chartTrackingRefBased/>
  <w15:docId w15:val="{AE7E345A-22F2-49DF-893C-368F1480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KB">
    <w:name w:val="Heading 1 KB"/>
    <w:basedOn w:val="Normal"/>
    <w:qFormat/>
    <w:rsid w:val="00CB3701"/>
    <w:rPr>
      <w:rFonts w:ascii="Cambria" w:hAnsi="Cambria"/>
      <w:u w:val="single"/>
    </w:rPr>
  </w:style>
  <w:style w:type="paragraph" w:customStyle="1" w:styleId="Heading2KB">
    <w:name w:val="Heading 2 KB"/>
    <w:basedOn w:val="Heading1KB"/>
    <w:next w:val="Normal"/>
    <w:qFormat/>
    <w:rsid w:val="00CB3701"/>
    <w:rPr>
      <w:sz w:val="24"/>
    </w:rPr>
  </w:style>
  <w:style w:type="paragraph" w:customStyle="1" w:styleId="Heading3KB">
    <w:name w:val="Heading 3 KB"/>
    <w:basedOn w:val="Normal"/>
    <w:next w:val="Normal"/>
    <w:qFormat/>
    <w:rsid w:val="00BB6F13"/>
    <w:rPr>
      <w:rFonts w:ascii="Calibri" w:hAnsi="Calibri"/>
      <w:u w:val="single"/>
    </w:rPr>
  </w:style>
  <w:style w:type="paragraph" w:styleId="Header">
    <w:name w:val="header"/>
    <w:basedOn w:val="Normal"/>
    <w:link w:val="HeaderChar"/>
    <w:uiPriority w:val="99"/>
    <w:unhideWhenUsed/>
    <w:rsid w:val="00AB35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509"/>
    <w:rPr>
      <w:lang w:val="nl-BE"/>
    </w:rPr>
  </w:style>
  <w:style w:type="paragraph" w:styleId="Footer">
    <w:name w:val="footer"/>
    <w:basedOn w:val="Normal"/>
    <w:link w:val="FooterChar"/>
    <w:uiPriority w:val="99"/>
    <w:unhideWhenUsed/>
    <w:rsid w:val="00AB35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509"/>
    <w:rPr>
      <w:lang w:val="nl-BE"/>
    </w:rPr>
  </w:style>
  <w:style w:type="paragraph" w:styleId="ListParagraph">
    <w:name w:val="List Paragraph"/>
    <w:basedOn w:val="Normal"/>
    <w:uiPriority w:val="34"/>
    <w:qFormat/>
    <w:rsid w:val="002734EF"/>
    <w:pPr>
      <w:ind w:left="720"/>
      <w:contextualSpacing/>
    </w:pPr>
  </w:style>
  <w:style w:type="character" w:styleId="CommentReference">
    <w:name w:val="annotation reference"/>
    <w:basedOn w:val="DefaultParagraphFont"/>
    <w:uiPriority w:val="99"/>
    <w:semiHidden/>
    <w:unhideWhenUsed/>
    <w:rsid w:val="008C46EF"/>
    <w:rPr>
      <w:sz w:val="16"/>
      <w:szCs w:val="16"/>
    </w:rPr>
  </w:style>
  <w:style w:type="paragraph" w:styleId="CommentText">
    <w:name w:val="annotation text"/>
    <w:basedOn w:val="Normal"/>
    <w:link w:val="CommentTextChar"/>
    <w:uiPriority w:val="99"/>
    <w:semiHidden/>
    <w:unhideWhenUsed/>
    <w:rsid w:val="008C46EF"/>
    <w:pPr>
      <w:spacing w:line="240" w:lineRule="auto"/>
    </w:pPr>
    <w:rPr>
      <w:sz w:val="20"/>
      <w:szCs w:val="20"/>
    </w:rPr>
  </w:style>
  <w:style w:type="character" w:customStyle="1" w:styleId="CommentTextChar">
    <w:name w:val="Comment Text Char"/>
    <w:basedOn w:val="DefaultParagraphFont"/>
    <w:link w:val="CommentText"/>
    <w:uiPriority w:val="99"/>
    <w:semiHidden/>
    <w:rsid w:val="008C46EF"/>
    <w:rPr>
      <w:sz w:val="20"/>
      <w:szCs w:val="20"/>
      <w:lang w:val="nl-BE"/>
    </w:rPr>
  </w:style>
  <w:style w:type="paragraph" w:styleId="CommentSubject">
    <w:name w:val="annotation subject"/>
    <w:basedOn w:val="CommentText"/>
    <w:next w:val="CommentText"/>
    <w:link w:val="CommentSubjectChar"/>
    <w:uiPriority w:val="99"/>
    <w:semiHidden/>
    <w:unhideWhenUsed/>
    <w:rsid w:val="008C46EF"/>
    <w:rPr>
      <w:b/>
      <w:bCs/>
    </w:rPr>
  </w:style>
  <w:style w:type="character" w:customStyle="1" w:styleId="CommentSubjectChar">
    <w:name w:val="Comment Subject Char"/>
    <w:basedOn w:val="CommentTextChar"/>
    <w:link w:val="CommentSubject"/>
    <w:uiPriority w:val="99"/>
    <w:semiHidden/>
    <w:rsid w:val="008C46EF"/>
    <w:rPr>
      <w:b/>
      <w:bCs/>
      <w:sz w:val="20"/>
      <w:szCs w:val="20"/>
      <w:lang w:val="nl-BE"/>
    </w:rPr>
  </w:style>
  <w:style w:type="paragraph" w:styleId="Revision">
    <w:name w:val="Revision"/>
    <w:hidden/>
    <w:uiPriority w:val="99"/>
    <w:semiHidden/>
    <w:rsid w:val="008C46EF"/>
    <w:pPr>
      <w:spacing w:after="0" w:line="240" w:lineRule="auto"/>
    </w:pPr>
    <w:rPr>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9243">
      <w:bodyDiv w:val="1"/>
      <w:marLeft w:val="0"/>
      <w:marRight w:val="0"/>
      <w:marTop w:val="0"/>
      <w:marBottom w:val="0"/>
      <w:divBdr>
        <w:top w:val="none" w:sz="0" w:space="0" w:color="auto"/>
        <w:left w:val="none" w:sz="0" w:space="0" w:color="auto"/>
        <w:bottom w:val="none" w:sz="0" w:space="0" w:color="auto"/>
        <w:right w:val="none" w:sz="0" w:space="0" w:color="auto"/>
      </w:divBdr>
    </w:div>
    <w:div w:id="48580859">
      <w:bodyDiv w:val="1"/>
      <w:marLeft w:val="0"/>
      <w:marRight w:val="0"/>
      <w:marTop w:val="0"/>
      <w:marBottom w:val="0"/>
      <w:divBdr>
        <w:top w:val="none" w:sz="0" w:space="0" w:color="auto"/>
        <w:left w:val="none" w:sz="0" w:space="0" w:color="auto"/>
        <w:bottom w:val="none" w:sz="0" w:space="0" w:color="auto"/>
        <w:right w:val="none" w:sz="0" w:space="0" w:color="auto"/>
      </w:divBdr>
    </w:div>
    <w:div w:id="111217564">
      <w:bodyDiv w:val="1"/>
      <w:marLeft w:val="0"/>
      <w:marRight w:val="0"/>
      <w:marTop w:val="0"/>
      <w:marBottom w:val="0"/>
      <w:divBdr>
        <w:top w:val="none" w:sz="0" w:space="0" w:color="auto"/>
        <w:left w:val="none" w:sz="0" w:space="0" w:color="auto"/>
        <w:bottom w:val="none" w:sz="0" w:space="0" w:color="auto"/>
        <w:right w:val="none" w:sz="0" w:space="0" w:color="auto"/>
      </w:divBdr>
    </w:div>
    <w:div w:id="189612295">
      <w:bodyDiv w:val="1"/>
      <w:marLeft w:val="0"/>
      <w:marRight w:val="0"/>
      <w:marTop w:val="0"/>
      <w:marBottom w:val="0"/>
      <w:divBdr>
        <w:top w:val="none" w:sz="0" w:space="0" w:color="auto"/>
        <w:left w:val="none" w:sz="0" w:space="0" w:color="auto"/>
        <w:bottom w:val="none" w:sz="0" w:space="0" w:color="auto"/>
        <w:right w:val="none" w:sz="0" w:space="0" w:color="auto"/>
      </w:divBdr>
    </w:div>
    <w:div w:id="227807899">
      <w:bodyDiv w:val="1"/>
      <w:marLeft w:val="0"/>
      <w:marRight w:val="0"/>
      <w:marTop w:val="0"/>
      <w:marBottom w:val="0"/>
      <w:divBdr>
        <w:top w:val="none" w:sz="0" w:space="0" w:color="auto"/>
        <w:left w:val="none" w:sz="0" w:space="0" w:color="auto"/>
        <w:bottom w:val="none" w:sz="0" w:space="0" w:color="auto"/>
        <w:right w:val="none" w:sz="0" w:space="0" w:color="auto"/>
      </w:divBdr>
    </w:div>
    <w:div w:id="418526120">
      <w:bodyDiv w:val="1"/>
      <w:marLeft w:val="0"/>
      <w:marRight w:val="0"/>
      <w:marTop w:val="0"/>
      <w:marBottom w:val="0"/>
      <w:divBdr>
        <w:top w:val="none" w:sz="0" w:space="0" w:color="auto"/>
        <w:left w:val="none" w:sz="0" w:space="0" w:color="auto"/>
        <w:bottom w:val="none" w:sz="0" w:space="0" w:color="auto"/>
        <w:right w:val="none" w:sz="0" w:space="0" w:color="auto"/>
      </w:divBdr>
    </w:div>
    <w:div w:id="443381234">
      <w:bodyDiv w:val="1"/>
      <w:marLeft w:val="0"/>
      <w:marRight w:val="0"/>
      <w:marTop w:val="0"/>
      <w:marBottom w:val="0"/>
      <w:divBdr>
        <w:top w:val="none" w:sz="0" w:space="0" w:color="auto"/>
        <w:left w:val="none" w:sz="0" w:space="0" w:color="auto"/>
        <w:bottom w:val="none" w:sz="0" w:space="0" w:color="auto"/>
        <w:right w:val="none" w:sz="0" w:space="0" w:color="auto"/>
      </w:divBdr>
    </w:div>
    <w:div w:id="455560251">
      <w:bodyDiv w:val="1"/>
      <w:marLeft w:val="0"/>
      <w:marRight w:val="0"/>
      <w:marTop w:val="0"/>
      <w:marBottom w:val="0"/>
      <w:divBdr>
        <w:top w:val="none" w:sz="0" w:space="0" w:color="auto"/>
        <w:left w:val="none" w:sz="0" w:space="0" w:color="auto"/>
        <w:bottom w:val="none" w:sz="0" w:space="0" w:color="auto"/>
        <w:right w:val="none" w:sz="0" w:space="0" w:color="auto"/>
      </w:divBdr>
    </w:div>
    <w:div w:id="492258221">
      <w:bodyDiv w:val="1"/>
      <w:marLeft w:val="0"/>
      <w:marRight w:val="0"/>
      <w:marTop w:val="0"/>
      <w:marBottom w:val="0"/>
      <w:divBdr>
        <w:top w:val="none" w:sz="0" w:space="0" w:color="auto"/>
        <w:left w:val="none" w:sz="0" w:space="0" w:color="auto"/>
        <w:bottom w:val="none" w:sz="0" w:space="0" w:color="auto"/>
        <w:right w:val="none" w:sz="0" w:space="0" w:color="auto"/>
      </w:divBdr>
    </w:div>
    <w:div w:id="566964573">
      <w:bodyDiv w:val="1"/>
      <w:marLeft w:val="0"/>
      <w:marRight w:val="0"/>
      <w:marTop w:val="0"/>
      <w:marBottom w:val="0"/>
      <w:divBdr>
        <w:top w:val="none" w:sz="0" w:space="0" w:color="auto"/>
        <w:left w:val="none" w:sz="0" w:space="0" w:color="auto"/>
        <w:bottom w:val="none" w:sz="0" w:space="0" w:color="auto"/>
        <w:right w:val="none" w:sz="0" w:space="0" w:color="auto"/>
      </w:divBdr>
    </w:div>
    <w:div w:id="825316398">
      <w:bodyDiv w:val="1"/>
      <w:marLeft w:val="0"/>
      <w:marRight w:val="0"/>
      <w:marTop w:val="0"/>
      <w:marBottom w:val="0"/>
      <w:divBdr>
        <w:top w:val="none" w:sz="0" w:space="0" w:color="auto"/>
        <w:left w:val="none" w:sz="0" w:space="0" w:color="auto"/>
        <w:bottom w:val="none" w:sz="0" w:space="0" w:color="auto"/>
        <w:right w:val="none" w:sz="0" w:space="0" w:color="auto"/>
      </w:divBdr>
    </w:div>
    <w:div w:id="967978356">
      <w:bodyDiv w:val="1"/>
      <w:marLeft w:val="0"/>
      <w:marRight w:val="0"/>
      <w:marTop w:val="0"/>
      <w:marBottom w:val="0"/>
      <w:divBdr>
        <w:top w:val="none" w:sz="0" w:space="0" w:color="auto"/>
        <w:left w:val="none" w:sz="0" w:space="0" w:color="auto"/>
        <w:bottom w:val="none" w:sz="0" w:space="0" w:color="auto"/>
        <w:right w:val="none" w:sz="0" w:space="0" w:color="auto"/>
      </w:divBdr>
    </w:div>
    <w:div w:id="1012729304">
      <w:bodyDiv w:val="1"/>
      <w:marLeft w:val="0"/>
      <w:marRight w:val="0"/>
      <w:marTop w:val="0"/>
      <w:marBottom w:val="0"/>
      <w:divBdr>
        <w:top w:val="none" w:sz="0" w:space="0" w:color="auto"/>
        <w:left w:val="none" w:sz="0" w:space="0" w:color="auto"/>
        <w:bottom w:val="none" w:sz="0" w:space="0" w:color="auto"/>
        <w:right w:val="none" w:sz="0" w:space="0" w:color="auto"/>
      </w:divBdr>
    </w:div>
    <w:div w:id="1040668649">
      <w:bodyDiv w:val="1"/>
      <w:marLeft w:val="0"/>
      <w:marRight w:val="0"/>
      <w:marTop w:val="0"/>
      <w:marBottom w:val="0"/>
      <w:divBdr>
        <w:top w:val="none" w:sz="0" w:space="0" w:color="auto"/>
        <w:left w:val="none" w:sz="0" w:space="0" w:color="auto"/>
        <w:bottom w:val="none" w:sz="0" w:space="0" w:color="auto"/>
        <w:right w:val="none" w:sz="0" w:space="0" w:color="auto"/>
      </w:divBdr>
    </w:div>
    <w:div w:id="1601521339">
      <w:bodyDiv w:val="1"/>
      <w:marLeft w:val="0"/>
      <w:marRight w:val="0"/>
      <w:marTop w:val="0"/>
      <w:marBottom w:val="0"/>
      <w:divBdr>
        <w:top w:val="none" w:sz="0" w:space="0" w:color="auto"/>
        <w:left w:val="none" w:sz="0" w:space="0" w:color="auto"/>
        <w:bottom w:val="none" w:sz="0" w:space="0" w:color="auto"/>
        <w:right w:val="none" w:sz="0" w:space="0" w:color="auto"/>
      </w:divBdr>
    </w:div>
    <w:div w:id="181764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EBA90-F563-430A-B2D2-C14E7E3A7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4</Pages>
  <Words>1169</Words>
  <Characters>6667</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BOOSTEN Karl</dc:creator>
  <cp:keywords/>
  <dc:description/>
  <cp:lastModifiedBy>BOOSTEN Karl</cp:lastModifiedBy>
  <cp:revision>14</cp:revision>
  <cp:lastPrinted>2022-06-03T15:28:00Z</cp:lastPrinted>
  <dcterms:created xsi:type="dcterms:W3CDTF">2022-12-01T08:55:00Z</dcterms:created>
  <dcterms:modified xsi:type="dcterms:W3CDTF">2022-12-07T08:47:00Z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796950-567b-48bc-8873-999e13509e95_Enabled">
    <vt:lpwstr>true</vt:lpwstr>
  </property>
  <property fmtid="{D5CDD505-2E9C-101B-9397-08002B2CF9AE}" pid="3" name="MSIP_Label_7f796950-567b-48bc-8873-999e13509e95_SetDate">
    <vt:lpwstr>2022-03-25T13:38:42Z</vt:lpwstr>
  </property>
  <property fmtid="{D5CDD505-2E9C-101B-9397-08002B2CF9AE}" pid="4" name="MSIP_Label_7f796950-567b-48bc-8873-999e13509e95_Method">
    <vt:lpwstr>Standard</vt:lpwstr>
  </property>
  <property fmtid="{D5CDD505-2E9C-101B-9397-08002B2CF9AE}" pid="5" name="MSIP_Label_7f796950-567b-48bc-8873-999e13509e95_Name">
    <vt:lpwstr>7f796950-567b-48bc-8873-999e13509e95</vt:lpwstr>
  </property>
  <property fmtid="{D5CDD505-2E9C-101B-9397-08002B2CF9AE}" pid="6" name="MSIP_Label_7f796950-567b-48bc-8873-999e13509e95_SiteId">
    <vt:lpwstr>1f816a84-7aa6-4a56-b22a-7b3452fa8681</vt:lpwstr>
  </property>
  <property fmtid="{D5CDD505-2E9C-101B-9397-08002B2CF9AE}" pid="7" name="MSIP_Label_7f796950-567b-48bc-8873-999e13509e95_ActionId">
    <vt:lpwstr>cdaace64-84ae-4190-b67c-11e033594f6e</vt:lpwstr>
  </property>
  <property fmtid="{D5CDD505-2E9C-101B-9397-08002B2CF9AE}" pid="8" name="MSIP_Label_7f796950-567b-48bc-8873-999e13509e95_ContentBits">
    <vt:lpwstr>0</vt:lpwstr>
  </property>
  <property fmtid="{D5CDD505-2E9C-101B-9397-08002B2CF9AE}" pid="9" name="GrammarlyDocumentId">
    <vt:lpwstr>a6c30b9396391c7dc0a1d0f238ae3f681cbcc7692cfe41b93ab38305b3c59f41</vt:lpwstr>
  </property>
</Properties>
</file>